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2215" w:rsidR="0040413A" w:rsidP="0040413A" w:rsidRDefault="002E2A1E" w14:paraId="0530CA40" w14:textId="59907A02">
      <w:pPr>
        <w:jc w:val="both"/>
        <w:rPr>
          <w:rFonts w:ascii="Times New Roman" w:hAnsi="Times New Roman" w:cs="Times New Roman"/>
          <w:b/>
          <w:sz w:val="24"/>
          <w:szCs w:val="24"/>
        </w:rPr>
      </w:pPr>
      <w:r>
        <w:rPr>
          <w:rFonts w:ascii="Times New Roman" w:hAnsi="Times New Roman" w:cs="Times New Roman"/>
          <w:b/>
          <w:caps/>
          <w:sz w:val="24"/>
          <w:szCs w:val="24"/>
        </w:rPr>
        <w:t xml:space="preserve">REAALAJAMAJANDUSE </w:t>
      </w:r>
      <w:r w:rsidR="001F2AE7">
        <w:rPr>
          <w:rFonts w:ascii="Times New Roman" w:hAnsi="Times New Roman" w:cs="Times New Roman"/>
          <w:b/>
          <w:caps/>
          <w:sz w:val="24"/>
          <w:szCs w:val="24"/>
        </w:rPr>
        <w:t>tervikprotsessi lahenduse</w:t>
      </w:r>
      <w:r w:rsidRPr="006C2525" w:rsidDel="006C2525" w:rsidR="006C2525">
        <w:rPr>
          <w:rFonts w:ascii="Times New Roman" w:hAnsi="Times New Roman" w:cs="Times New Roman"/>
          <w:b/>
          <w:caps/>
          <w:sz w:val="24"/>
          <w:szCs w:val="24"/>
        </w:rPr>
        <w:t xml:space="preserve"> </w:t>
      </w:r>
      <w:r w:rsidRPr="00E12215" w:rsidR="0040413A">
        <w:rPr>
          <w:rFonts w:ascii="Times New Roman" w:hAnsi="Times New Roman" w:cs="Times New Roman"/>
          <w:b/>
          <w:sz w:val="24"/>
          <w:szCs w:val="24"/>
        </w:rPr>
        <w:t xml:space="preserve">TAOTLUSTE </w:t>
      </w:r>
      <w:r w:rsidR="007A415F">
        <w:rPr>
          <w:rFonts w:ascii="Times New Roman" w:hAnsi="Times New Roman" w:cs="Times New Roman"/>
          <w:b/>
          <w:sz w:val="24"/>
          <w:szCs w:val="24"/>
        </w:rPr>
        <w:t>HINDAMIS</w:t>
      </w:r>
      <w:r w:rsidRPr="00E12215" w:rsidR="007A415F">
        <w:rPr>
          <w:rFonts w:ascii="Times New Roman" w:hAnsi="Times New Roman" w:cs="Times New Roman"/>
          <w:b/>
          <w:sz w:val="24"/>
          <w:szCs w:val="24"/>
        </w:rPr>
        <w:t>METOODIKA</w:t>
      </w:r>
    </w:p>
    <w:p w:rsidRPr="0040413A" w:rsidR="0040413A" w:rsidP="0040413A" w:rsidRDefault="0040413A" w14:paraId="0530CA41" w14:textId="77777777">
      <w:pPr>
        <w:jc w:val="both"/>
        <w:rPr>
          <w:rFonts w:ascii="Times New Roman" w:hAnsi="Times New Roman" w:cs="Times New Roman"/>
          <w:sz w:val="24"/>
          <w:szCs w:val="24"/>
        </w:rPr>
      </w:pPr>
    </w:p>
    <w:p w:rsidRPr="0040413A" w:rsidR="0040413A" w:rsidP="0040413A" w:rsidRDefault="0040413A" w14:paraId="0530CA42" w14:textId="133D9D65">
      <w:pPr>
        <w:jc w:val="both"/>
        <w:rPr>
          <w:rFonts w:ascii="Times New Roman" w:hAnsi="Times New Roman" w:cs="Times New Roman"/>
          <w:sz w:val="24"/>
          <w:szCs w:val="24"/>
        </w:rPr>
      </w:pPr>
      <w:r w:rsidRPr="0040413A">
        <w:rPr>
          <w:rFonts w:ascii="Times New Roman" w:hAnsi="Times New Roman" w:cs="Times New Roman"/>
          <w:sz w:val="24"/>
          <w:szCs w:val="24"/>
        </w:rPr>
        <w:t xml:space="preserve">1. Taotluse hindamise kord </w:t>
      </w:r>
    </w:p>
    <w:p w:rsidR="008046E4" w:rsidP="008046E4" w:rsidRDefault="00471132" w14:paraId="2CBBC211" w14:textId="0CEB617F">
      <w:pPr>
        <w:pStyle w:val="paragraph"/>
        <w:numPr>
          <w:ilvl w:val="1"/>
          <w:numId w:val="12"/>
        </w:numPr>
        <w:spacing w:before="0" w:beforeAutospacing="0" w:after="0" w:afterAutospacing="0"/>
        <w:jc w:val="both"/>
        <w:textAlignment w:val="baseline"/>
      </w:pPr>
      <w:r>
        <w:rPr>
          <w:rStyle w:val="normaltextrun"/>
        </w:rPr>
        <w:t>Määruse „</w:t>
      </w:r>
      <w:r w:rsidRPr="00C90F27" w:rsidR="00C90F27">
        <w:rPr>
          <w:rStyle w:val="normaltextrun"/>
        </w:rPr>
        <w:t>Reaalajamajanduse lahenduste piloteerimise toetusmeede</w:t>
      </w:r>
      <w:r>
        <w:rPr>
          <w:rStyle w:val="normaltextrun"/>
        </w:rPr>
        <w:t xml:space="preserve">“  (edaspidi määrus) raames </w:t>
      </w:r>
      <w:r w:rsidR="008B3AD9">
        <w:rPr>
          <w:rStyle w:val="normaltextrun"/>
        </w:rPr>
        <w:t>esitatud taotlusvoor (</w:t>
      </w:r>
      <w:r w:rsidR="002E2A1E">
        <w:rPr>
          <w:rStyle w:val="normaltextrun"/>
        </w:rPr>
        <w:t xml:space="preserve">Reaalajamajanduse </w:t>
      </w:r>
      <w:r w:rsidR="008B2810">
        <w:rPr>
          <w:rStyle w:val="normaltextrun"/>
        </w:rPr>
        <w:t>tervikprotsessi lahenduse</w:t>
      </w:r>
      <w:r w:rsidR="00C36E9C">
        <w:rPr>
          <w:rStyle w:val="normaltextrun"/>
        </w:rPr>
        <w:t xml:space="preserve"> </w:t>
      </w:r>
      <w:r w:rsidR="00F62F07">
        <w:rPr>
          <w:rStyle w:val="normaltextrun"/>
        </w:rPr>
        <w:t>toetus</w:t>
      </w:r>
      <w:r w:rsidR="008B3AD9">
        <w:rPr>
          <w:rStyle w:val="normaltextrun"/>
        </w:rPr>
        <w:t xml:space="preserve">) </w:t>
      </w:r>
      <w:r>
        <w:rPr>
          <w:rStyle w:val="normaltextrun"/>
        </w:rPr>
        <w:t>esitatud ja vastavaks tunnistatud taotlusi hinnatakse määruses toodud ning käesolevas hindamismetoodikas kirjeldatud hindamiskriteeriumite alusel. </w:t>
      </w:r>
      <w:r>
        <w:rPr>
          <w:rStyle w:val="eop"/>
        </w:rPr>
        <w:t> </w:t>
      </w:r>
    </w:p>
    <w:p w:rsidR="008046E4" w:rsidP="008046E4" w:rsidRDefault="00471132" w14:paraId="698D869C" w14:textId="2860790F">
      <w:pPr>
        <w:pStyle w:val="paragraph"/>
        <w:numPr>
          <w:ilvl w:val="1"/>
          <w:numId w:val="12"/>
        </w:numPr>
        <w:spacing w:before="0" w:beforeAutospacing="0" w:after="0" w:afterAutospacing="0"/>
        <w:jc w:val="both"/>
        <w:textAlignment w:val="baseline"/>
      </w:pPr>
      <w:r>
        <w:rPr>
          <w:rStyle w:val="normaltextrun"/>
        </w:rPr>
        <w:t>Meetme raames esitatud ja vastavaks tunnistatud taotlusi hindab Ettevõtluse ja Innovatsiooni Sihtasutus</w:t>
      </w:r>
      <w:r w:rsidR="00296DB4">
        <w:rPr>
          <w:rStyle w:val="normaltextrun"/>
        </w:rPr>
        <w:t xml:space="preserve"> (edaspidi EIS)</w:t>
      </w:r>
      <w:r>
        <w:rPr>
          <w:rStyle w:val="normaltextrun"/>
        </w:rPr>
        <w:t>, kaasates nõuandva õigusega hindamiskomisjoni ning vajadusel eksperte. Taotlust hindab EIS ettevõtluskonsultant, vormistades ettepaneku hindamiskomisjonile. Projektide lõplik hindamine toimub hindamiskomisjonis.</w:t>
      </w:r>
      <w:r>
        <w:rPr>
          <w:rStyle w:val="eop"/>
        </w:rPr>
        <w:t> </w:t>
      </w:r>
    </w:p>
    <w:p w:rsidR="00296DB4" w:rsidP="00296DB4" w:rsidRDefault="00471132" w14:paraId="42D6A236" w14:textId="77777777">
      <w:pPr>
        <w:pStyle w:val="paragraph"/>
        <w:numPr>
          <w:ilvl w:val="1"/>
          <w:numId w:val="12"/>
        </w:numPr>
        <w:spacing w:before="0" w:beforeAutospacing="0" w:after="0" w:afterAutospacing="0"/>
        <w:jc w:val="both"/>
        <w:textAlignment w:val="baseline"/>
      </w:pPr>
      <w:r>
        <w:rPr>
          <w:rStyle w:val="normaltextrun"/>
        </w:rPr>
        <w:t xml:space="preserve">Hindamiskomisjon lähtub enda töös </w:t>
      </w:r>
      <w:r w:rsidR="00296DB4">
        <w:rPr>
          <w:rStyle w:val="normaltextrun"/>
        </w:rPr>
        <w:t>EISi</w:t>
      </w:r>
      <w:r>
        <w:rPr>
          <w:rStyle w:val="normaltextrun"/>
        </w:rPr>
        <w:t xml:space="preserve"> poolt kinnitatud hindamiskomisjoni töökorrast.</w:t>
      </w:r>
      <w:r>
        <w:rPr>
          <w:rStyle w:val="eop"/>
        </w:rPr>
        <w:t> </w:t>
      </w:r>
    </w:p>
    <w:p w:rsidR="00296DB4" w:rsidP="00296DB4" w:rsidRDefault="00471132" w14:paraId="23722FCD" w14:textId="0A99ECCC">
      <w:pPr>
        <w:pStyle w:val="paragraph"/>
        <w:numPr>
          <w:ilvl w:val="1"/>
          <w:numId w:val="12"/>
        </w:numPr>
        <w:spacing w:before="0" w:beforeAutospacing="0" w:after="0" w:afterAutospacing="0"/>
        <w:jc w:val="both"/>
        <w:textAlignment w:val="baseline"/>
      </w:pPr>
      <w:r>
        <w:rPr>
          <w:rStyle w:val="normaltextrun"/>
        </w:rPr>
        <w:t>Taotlusi hinnatakse kõigi käesoleva hindamismetoodika punktis 2 loetletud hindamiskriteeriumi</w:t>
      </w:r>
      <w:r w:rsidR="00A242CA">
        <w:rPr>
          <w:rStyle w:val="normaltextrun"/>
        </w:rPr>
        <w:t>t</w:t>
      </w:r>
      <w:r>
        <w:rPr>
          <w:rStyle w:val="normaltextrun"/>
        </w:rPr>
        <w:t>e ja nende alakriteeriumi</w:t>
      </w:r>
      <w:r w:rsidR="00A242CA">
        <w:rPr>
          <w:rStyle w:val="normaltextrun"/>
        </w:rPr>
        <w:t>t</w:t>
      </w:r>
      <w:r>
        <w:rPr>
          <w:rStyle w:val="normaltextrun"/>
        </w:rPr>
        <w:t>e lõikes hindeskaalade alusel. </w:t>
      </w:r>
      <w:r>
        <w:rPr>
          <w:rStyle w:val="eop"/>
        </w:rPr>
        <w:t> </w:t>
      </w:r>
    </w:p>
    <w:p w:rsidR="00296DB4" w:rsidP="00296DB4" w:rsidRDefault="00471132" w14:paraId="49B921F3" w14:textId="77777777">
      <w:pPr>
        <w:pStyle w:val="paragraph"/>
        <w:numPr>
          <w:ilvl w:val="1"/>
          <w:numId w:val="12"/>
        </w:numPr>
        <w:spacing w:before="0" w:beforeAutospacing="0" w:after="0" w:afterAutospacing="0"/>
        <w:jc w:val="both"/>
        <w:textAlignment w:val="baseline"/>
      </w:pPr>
      <w:r>
        <w:rPr>
          <w:rStyle w:val="normaltextrun"/>
        </w:rPr>
        <w:t>Taotlusi hinnatakse skaalal 0–4. Hindamisel valitakse hinne, mille kirjelduses enamik aspekte vastab projektis esinevatele asjaoludele. Hinne 3 valitakse juhul, kui projektis kirjeldatud asjaolud sobituvad sisult hinde 4 kirjelduses toodud aspektide ja hinde 2 kirjelduses toodud aspektide vahele. Hinne 1 valitakse juhul, kui projektis kirjeldatud asjaolud sobituvad sisult hinde 2 kirjelduses toodud aspektide ja hinde 0 kirjelduses toodud aspektide vahele. </w:t>
      </w:r>
      <w:r>
        <w:rPr>
          <w:rStyle w:val="eop"/>
        </w:rPr>
        <w:t> </w:t>
      </w:r>
    </w:p>
    <w:p w:rsidR="00296DB4" w:rsidP="00296DB4" w:rsidRDefault="00471132" w14:paraId="7EF73F17" w14:textId="71A283FB">
      <w:pPr>
        <w:pStyle w:val="paragraph"/>
        <w:numPr>
          <w:ilvl w:val="1"/>
          <w:numId w:val="12"/>
        </w:numPr>
        <w:spacing w:before="0" w:beforeAutospacing="0" w:after="0" w:afterAutospacing="0"/>
        <w:jc w:val="both"/>
        <w:textAlignment w:val="baseline"/>
      </w:pPr>
      <w:r>
        <w:rPr>
          <w:rStyle w:val="normaltextrun"/>
        </w:rPr>
        <w:t>Taotluse hindamisel antud koondhinne moodustub hindamiskriteeriumi</w:t>
      </w:r>
      <w:r w:rsidR="00006F4F">
        <w:rPr>
          <w:rStyle w:val="normaltextrun"/>
        </w:rPr>
        <w:t>t</w:t>
      </w:r>
      <w:r>
        <w:rPr>
          <w:rStyle w:val="normaltextrun"/>
        </w:rPr>
        <w:t>e ja alakriteeriumi</w:t>
      </w:r>
      <w:r w:rsidR="00006F4F">
        <w:rPr>
          <w:rStyle w:val="normaltextrun"/>
        </w:rPr>
        <w:t>t</w:t>
      </w:r>
      <w:r>
        <w:rPr>
          <w:rStyle w:val="normaltextrun"/>
        </w:rPr>
        <w:t>e hinnete kaalutud keskmisest. Taotluse koondhinne ja hindamiskriteeriumite hinded arvutatakse täpsusega kaks (2) kohta peale koma. </w:t>
      </w:r>
      <w:r>
        <w:rPr>
          <w:rStyle w:val="eop"/>
        </w:rPr>
        <w:t> </w:t>
      </w:r>
    </w:p>
    <w:p w:rsidR="00296DB4" w:rsidP="7EB05DED" w:rsidRDefault="00471132" w14:paraId="79BD1EE6" w14:textId="02AE21BC">
      <w:pPr>
        <w:pStyle w:val="paragraph"/>
        <w:numPr>
          <w:ilvl w:val="1"/>
          <w:numId w:val="12"/>
        </w:numPr>
        <w:spacing w:before="0" w:beforeAutospacing="0" w:after="0" w:afterAutospacing="0"/>
        <w:jc w:val="both"/>
        <w:textAlignment w:val="baseline"/>
      </w:pPr>
      <w:r w:rsidRPr="7EB05DED">
        <w:rPr>
          <w:rStyle w:val="normaltextrun"/>
        </w:rPr>
        <w:t>Rahuldamisele kuuluvad nõuetele vastavaks tunnistatud taotlused, mis käesoleva hindamismetoodika punktis 2 toodud valikukriteeriumi</w:t>
      </w:r>
      <w:r w:rsidRPr="7EB05DED" w:rsidR="00945349">
        <w:rPr>
          <w:rStyle w:val="normaltextrun"/>
        </w:rPr>
        <w:t>t</w:t>
      </w:r>
      <w:r w:rsidRPr="7EB05DED">
        <w:rPr>
          <w:rStyle w:val="normaltextrun"/>
        </w:rPr>
        <w:t>e alusel on saanud koondhindeks vähemalt 2,5</w:t>
      </w:r>
      <w:r w:rsidRPr="7EB05DED" w:rsidR="182080ED">
        <w:rPr>
          <w:rStyle w:val="normaltextrun"/>
        </w:rPr>
        <w:t>0</w:t>
      </w:r>
      <w:r w:rsidRPr="7EB05DED">
        <w:rPr>
          <w:rStyle w:val="normaltextrun"/>
        </w:rPr>
        <w:t xml:space="preserve"> ja iga punktis 2 toodud valikukriteeriumi lõikes vähemalt 2,0</w:t>
      </w:r>
      <w:r w:rsidRPr="7EB05DED" w:rsidR="6A8CABAB">
        <w:rPr>
          <w:rStyle w:val="normaltextrun"/>
        </w:rPr>
        <w:t>0</w:t>
      </w:r>
      <w:r w:rsidRPr="7EB05DED">
        <w:rPr>
          <w:rStyle w:val="normaltextrun"/>
        </w:rPr>
        <w:t>. </w:t>
      </w:r>
      <w:r w:rsidRPr="7EB05DED">
        <w:rPr>
          <w:rStyle w:val="eop"/>
        </w:rPr>
        <w:t> </w:t>
      </w:r>
    </w:p>
    <w:p w:rsidR="00296DB4" w:rsidP="7EB05DED" w:rsidRDefault="00471132" w14:paraId="38772E9B" w14:textId="6D50CBFC">
      <w:pPr>
        <w:pStyle w:val="paragraph"/>
        <w:numPr>
          <w:ilvl w:val="1"/>
          <w:numId w:val="12"/>
        </w:numPr>
        <w:spacing w:before="0" w:beforeAutospacing="0" w:after="0" w:afterAutospacing="0"/>
        <w:jc w:val="both"/>
        <w:textAlignment w:val="baseline"/>
      </w:pPr>
      <w:r w:rsidRPr="7EB05DED">
        <w:rPr>
          <w:rStyle w:val="normaltextrun"/>
        </w:rPr>
        <w:t>Taotlus ei kuulu rahuldamisele juhul, kui selle hindamisel antud koondhinne jääb alla 2,50 või kui vähemalt üks käesoleva valikumetoodika punktis 2 loetletud valikukriteeriumi</w:t>
      </w:r>
      <w:r w:rsidRPr="7EB05DED" w:rsidR="003902F6">
        <w:rPr>
          <w:rStyle w:val="normaltextrun"/>
        </w:rPr>
        <w:t>t</w:t>
      </w:r>
      <w:r w:rsidRPr="7EB05DED">
        <w:rPr>
          <w:rStyle w:val="normaltextrun"/>
        </w:rPr>
        <w:t>est hinnatakse hindega alla 2,0</w:t>
      </w:r>
      <w:r w:rsidRPr="7EB05DED" w:rsidR="22D9A707">
        <w:rPr>
          <w:rStyle w:val="normaltextrun"/>
        </w:rPr>
        <w:t>0</w:t>
      </w:r>
      <w:r w:rsidRPr="7EB05DED">
        <w:rPr>
          <w:rStyle w:val="normaltextrun"/>
        </w:rPr>
        <w:t>. </w:t>
      </w:r>
      <w:r w:rsidRPr="7EB05DED">
        <w:rPr>
          <w:rStyle w:val="eop"/>
        </w:rPr>
        <w:t> </w:t>
      </w:r>
    </w:p>
    <w:p w:rsidR="009639E9" w:rsidP="009639E9" w:rsidRDefault="00471132" w14:paraId="364B155E" w14:textId="4FAE8692">
      <w:pPr>
        <w:pStyle w:val="paragraph"/>
        <w:numPr>
          <w:ilvl w:val="1"/>
          <w:numId w:val="12"/>
        </w:numPr>
        <w:spacing w:before="0" w:beforeAutospacing="0" w:after="0" w:afterAutospacing="0"/>
        <w:jc w:val="both"/>
        <w:textAlignment w:val="baseline"/>
      </w:pPr>
      <w:r>
        <w:rPr>
          <w:rStyle w:val="normaltextrun"/>
        </w:rPr>
        <w:t xml:space="preserve">Ettevõtluse ja Innovatsiooni Sihtasutus reastab taotlused lõpliku paremusjärjestuse saamiseks hindamiskomisjonis saadud koondhinnete põhjal pingeritta alates suurima koondhinde saanud taotlusest. Võrdse koondhinde saanud taotluste korral saab pingereas kõrgema koha määruse § 16 lõike </w:t>
      </w:r>
      <w:r w:rsidR="00CC234A">
        <w:rPr>
          <w:rStyle w:val="normaltextrun"/>
        </w:rPr>
        <w:t xml:space="preserve">1 punktis 1 </w:t>
      </w:r>
      <w:r>
        <w:rPr>
          <w:rStyle w:val="normaltextrun"/>
        </w:rPr>
        <w:t>nimetatud valikukriteeriumis kõrgema hinde saanud  taotlus. Juhul kui ka § 16 lõike 1 punktis 1 nimetatud valikukriteeriumi hinne on sama, saab pingereas kõrgema koha määruse § 16 lõike 1 punktis 3 nimetatud valikukriteeriumis kõrgema hinde saanud taotlus.</w:t>
      </w:r>
      <w:r>
        <w:rPr>
          <w:rStyle w:val="eop"/>
        </w:rPr>
        <w:t> </w:t>
      </w:r>
    </w:p>
    <w:p w:rsidR="009639E9" w:rsidP="009639E9" w:rsidRDefault="00471132" w14:paraId="7EBCBFD2" w14:textId="77777777">
      <w:pPr>
        <w:pStyle w:val="paragraph"/>
        <w:numPr>
          <w:ilvl w:val="1"/>
          <w:numId w:val="12"/>
        </w:numPr>
        <w:spacing w:before="0" w:beforeAutospacing="0" w:after="0" w:afterAutospacing="0"/>
        <w:jc w:val="both"/>
        <w:textAlignment w:val="baseline"/>
      </w:pPr>
      <w:r>
        <w:rPr>
          <w:rStyle w:val="normaltextrun"/>
        </w:rPr>
        <w:t>Hindamiskomisjon teeb rakendusüksusele ettepaneku rahuldada taotlus taotletud mahus, rahuldada taotlus taotletust väiksemas mahus või jätta taotlus rahuldamata.   </w:t>
      </w:r>
      <w:r>
        <w:rPr>
          <w:rStyle w:val="eop"/>
        </w:rPr>
        <w:t> </w:t>
      </w:r>
    </w:p>
    <w:p w:rsidR="00471132" w:rsidP="009639E9" w:rsidRDefault="00471132" w14:paraId="79C2A383" w14:textId="49E55A0F">
      <w:pPr>
        <w:pStyle w:val="paragraph"/>
        <w:numPr>
          <w:ilvl w:val="1"/>
          <w:numId w:val="12"/>
        </w:numPr>
        <w:spacing w:before="0" w:beforeAutospacing="0" w:after="0" w:afterAutospacing="0"/>
        <w:jc w:val="both"/>
        <w:textAlignment w:val="baseline"/>
      </w:pPr>
      <w:r>
        <w:rPr>
          <w:rStyle w:val="normaltextrun"/>
        </w:rPr>
        <w:t>Hindamiskomisjon võib teha ettepaneku projektile täiendavate tingimuste seadmiseks või projekti etapiviisiliseks rahastamiseks.</w:t>
      </w:r>
    </w:p>
    <w:p w:rsidR="00471132" w:rsidP="0040413A" w:rsidRDefault="00471132" w14:paraId="2D62CF86" w14:textId="77777777">
      <w:pPr>
        <w:jc w:val="both"/>
        <w:rPr>
          <w:rFonts w:ascii="Times New Roman" w:hAnsi="Times New Roman" w:cs="Times New Roman"/>
          <w:sz w:val="24"/>
          <w:szCs w:val="24"/>
        </w:rPr>
      </w:pPr>
    </w:p>
    <w:p w:rsidR="00A75315" w:rsidRDefault="00A75315" w14:paraId="1BA07CDC" w14:textId="77777777">
      <w:pPr>
        <w:rPr>
          <w:rFonts w:ascii="Times New Roman" w:hAnsi="Times New Roman" w:cs="Times New Roman"/>
          <w:sz w:val="24"/>
          <w:szCs w:val="24"/>
        </w:rPr>
      </w:pPr>
      <w:r>
        <w:rPr>
          <w:rFonts w:ascii="Times New Roman" w:hAnsi="Times New Roman" w:cs="Times New Roman"/>
          <w:sz w:val="24"/>
          <w:szCs w:val="24"/>
        </w:rPr>
        <w:br w:type="page"/>
      </w:r>
    </w:p>
    <w:p w:rsidRPr="0040413A" w:rsidR="0069567D" w:rsidP="0040413A" w:rsidRDefault="0069567D" w14:paraId="107202FE" w14:textId="77777777">
      <w:pPr>
        <w:jc w:val="both"/>
        <w:rPr>
          <w:rFonts w:ascii="Times New Roman" w:hAnsi="Times New Roman" w:cs="Times New Roman"/>
          <w:sz w:val="24"/>
          <w:szCs w:val="24"/>
        </w:rPr>
      </w:pPr>
    </w:p>
    <w:p w:rsidRPr="00EC2D7B" w:rsidR="00F924EE" w:rsidP="00F924EE" w:rsidRDefault="00202472" w14:paraId="4AB5FD69" w14:textId="4B8F1EEA">
      <w:pPr>
        <w:jc w:val="both"/>
        <w:rPr>
          <w:rFonts w:ascii="Times New Roman" w:hAnsi="Times New Roman" w:cs="Times New Roman"/>
          <w:b/>
          <w:bCs/>
          <w:color w:val="202020"/>
          <w:sz w:val="24"/>
          <w:szCs w:val="24"/>
          <w:shd w:val="clear" w:color="auto" w:fill="FFFFFF"/>
        </w:rPr>
      </w:pPr>
      <w:r w:rsidRPr="00A75315">
        <w:rPr>
          <w:rFonts w:ascii="Times New Roman" w:hAnsi="Times New Roman" w:cs="Times New Roman"/>
          <w:b/>
          <w:bCs/>
          <w:sz w:val="24"/>
          <w:szCs w:val="24"/>
        </w:rPr>
        <w:t>2.</w:t>
      </w:r>
      <w:r w:rsidRPr="00EC2D7B" w:rsidR="00F924EE">
        <w:rPr>
          <w:rFonts w:ascii="Times New Roman" w:hAnsi="Times New Roman" w:cs="Times New Roman"/>
          <w:b/>
          <w:bCs/>
          <w:color w:val="202020"/>
          <w:sz w:val="24"/>
          <w:szCs w:val="24"/>
          <w:shd w:val="clear" w:color="auto" w:fill="FFFFFF"/>
        </w:rPr>
        <w:t>Taotluse hindamiskriteeriumid ja nende osakaalud, hinnete kirjeldused:</w:t>
      </w:r>
    </w:p>
    <w:tbl>
      <w:tblPr>
        <w:tblStyle w:val="TableGrid"/>
        <w:tblW w:w="9640" w:type="dxa"/>
        <w:tblLook w:val="04A0" w:firstRow="1" w:lastRow="0" w:firstColumn="1" w:lastColumn="0" w:noHBand="0" w:noVBand="1"/>
      </w:tblPr>
      <w:tblGrid>
        <w:gridCol w:w="658"/>
        <w:gridCol w:w="7668"/>
        <w:gridCol w:w="1314"/>
      </w:tblGrid>
      <w:tr w:rsidRPr="0040413A" w:rsidR="0040413A" w:rsidTr="41CC11D6" w14:paraId="0530CA4E" w14:textId="77777777">
        <w:trPr>
          <w:trHeight w:val="499"/>
        </w:trPr>
        <w:tc>
          <w:tcPr>
            <w:tcW w:w="8326" w:type="dxa"/>
            <w:gridSpan w:val="2"/>
            <w:shd w:val="clear" w:color="auto" w:fill="CCFFCC"/>
            <w:tcMar/>
            <w:hideMark/>
          </w:tcPr>
          <w:p w:rsidRPr="0040413A" w:rsidR="0040413A" w:rsidP="0040413A" w:rsidRDefault="00B71AE7" w14:paraId="0530CA4C" w14:textId="33A86ECC">
            <w:pPr>
              <w:jc w:val="both"/>
              <w:rPr>
                <w:rFonts w:ascii="Times New Roman" w:hAnsi="Times New Roman" w:cs="Times New Roman"/>
                <w:b/>
                <w:bCs/>
                <w:sz w:val="24"/>
                <w:szCs w:val="24"/>
              </w:rPr>
            </w:pPr>
            <w:r>
              <w:rPr>
                <w:rFonts w:ascii="Times New Roman" w:hAnsi="Times New Roman" w:cs="Times New Roman"/>
                <w:b/>
                <w:bCs/>
                <w:sz w:val="24"/>
                <w:szCs w:val="24"/>
              </w:rPr>
              <w:t>1. P</w:t>
            </w:r>
            <w:r w:rsidRPr="00B71AE7">
              <w:rPr>
                <w:rFonts w:ascii="Times New Roman" w:hAnsi="Times New Roman" w:cs="Times New Roman"/>
                <w:b/>
                <w:bCs/>
                <w:sz w:val="24"/>
                <w:szCs w:val="24"/>
              </w:rPr>
              <w:t xml:space="preserve">rojekti tegevuste mõju toetuse andmise eesmärgi, väljund- ja tulemusnäitaja saavutamisele </w:t>
            </w:r>
          </w:p>
        </w:tc>
        <w:tc>
          <w:tcPr>
            <w:tcW w:w="1314" w:type="dxa"/>
            <w:shd w:val="clear" w:color="auto" w:fill="CCFFCC"/>
            <w:noWrap/>
            <w:tcMar/>
            <w:hideMark/>
          </w:tcPr>
          <w:p w:rsidRPr="0040413A" w:rsidR="0040413A" w:rsidP="0040413A" w:rsidRDefault="0040413A" w14:paraId="0530CA4D" w14:textId="77777777">
            <w:pPr>
              <w:jc w:val="both"/>
              <w:rPr>
                <w:rFonts w:ascii="Times New Roman" w:hAnsi="Times New Roman" w:cs="Times New Roman"/>
                <w:i/>
                <w:iCs/>
                <w:sz w:val="24"/>
                <w:szCs w:val="24"/>
              </w:rPr>
            </w:pPr>
            <w:r w:rsidRPr="0040413A">
              <w:rPr>
                <w:rFonts w:ascii="Times New Roman" w:hAnsi="Times New Roman" w:cs="Times New Roman"/>
                <w:i/>
                <w:iCs/>
                <w:sz w:val="24"/>
                <w:szCs w:val="24"/>
              </w:rPr>
              <w:t>50%</w:t>
            </w:r>
          </w:p>
        </w:tc>
      </w:tr>
      <w:tr w:rsidRPr="0040413A" w:rsidR="0040413A" w:rsidTr="41CC11D6" w14:paraId="0530CA51" w14:textId="77777777">
        <w:trPr>
          <w:trHeight w:val="315"/>
        </w:trPr>
        <w:tc>
          <w:tcPr>
            <w:tcW w:w="8326" w:type="dxa"/>
            <w:gridSpan w:val="2"/>
            <w:tcMar/>
            <w:hideMark/>
          </w:tcPr>
          <w:p w:rsidRPr="0040413A" w:rsidR="0040413A" w:rsidP="0040413A" w:rsidRDefault="0040413A" w14:paraId="0530CA4F" w14:textId="370A0253">
            <w:pPr>
              <w:jc w:val="both"/>
              <w:rPr>
                <w:rFonts w:ascii="Times New Roman" w:hAnsi="Times New Roman" w:cs="Times New Roman"/>
                <w:sz w:val="24"/>
                <w:szCs w:val="24"/>
              </w:rPr>
            </w:pPr>
            <w:r w:rsidRPr="0040413A">
              <w:rPr>
                <w:rFonts w:ascii="Times New Roman" w:hAnsi="Times New Roman" w:cs="Times New Roman"/>
                <w:sz w:val="24"/>
                <w:szCs w:val="24"/>
              </w:rPr>
              <w:t xml:space="preserve">Hinnatakse </w:t>
            </w:r>
            <w:r w:rsidRPr="00AC4B4E" w:rsidR="00B074D7">
              <w:rPr>
                <w:rFonts w:ascii="Times New Roman" w:hAnsi="Times New Roman" w:eastAsia="Times New Roman" w:cs="Times New Roman"/>
                <w:sz w:val="24"/>
                <w:szCs w:val="24"/>
              </w:rPr>
              <w:t xml:space="preserve">projekti tegevuste mõju meetme eesmärkide saavutamisele, </w:t>
            </w:r>
            <w:r w:rsidRPr="00AA2FFB" w:rsidR="00AA2FFB">
              <w:rPr>
                <w:rFonts w:ascii="Times New Roman" w:hAnsi="Times New Roman" w:cs="Times New Roman"/>
                <w:color w:val="202020"/>
                <w:sz w:val="24"/>
                <w:szCs w:val="24"/>
                <w:shd w:val="clear" w:color="auto" w:fill="FFFFFF"/>
              </w:rPr>
              <w:t>mille raames hinnatakse projekti panust toetuse andmise eesmärkide ja näitajate saavutamisele</w:t>
            </w:r>
            <w:r w:rsidR="00B074D7">
              <w:rPr>
                <w:rFonts w:ascii="Times New Roman" w:hAnsi="Times New Roman" w:cs="Times New Roman"/>
                <w:color w:val="202020"/>
                <w:sz w:val="24"/>
                <w:szCs w:val="24"/>
                <w:shd w:val="clear" w:color="auto" w:fill="FFFFFF"/>
              </w:rPr>
              <w:t xml:space="preserve"> </w:t>
            </w:r>
            <w:r w:rsidRPr="0040413A">
              <w:rPr>
                <w:rFonts w:ascii="Times New Roman" w:hAnsi="Times New Roman" w:cs="Times New Roman"/>
                <w:sz w:val="24"/>
                <w:szCs w:val="24"/>
              </w:rPr>
              <w:t>– osakaal 50 protsendipunkti koondhindes;</w:t>
            </w:r>
          </w:p>
        </w:tc>
        <w:tc>
          <w:tcPr>
            <w:tcW w:w="1314" w:type="dxa"/>
            <w:tcMar/>
            <w:hideMark/>
          </w:tcPr>
          <w:p w:rsidRPr="0040413A" w:rsidR="0040413A" w:rsidP="0040413A" w:rsidRDefault="0040413A" w14:paraId="0530CA50" w14:textId="77777777">
            <w:pPr>
              <w:jc w:val="both"/>
              <w:rPr>
                <w:rFonts w:ascii="Times New Roman" w:hAnsi="Times New Roman" w:cs="Times New Roman"/>
                <w:b/>
                <w:bCs/>
                <w:sz w:val="24"/>
                <w:szCs w:val="24"/>
              </w:rPr>
            </w:pPr>
          </w:p>
        </w:tc>
      </w:tr>
      <w:tr w:rsidRPr="0040413A" w:rsidR="0040413A" w:rsidTr="41CC11D6" w14:paraId="0530CA58" w14:textId="77777777">
        <w:trPr>
          <w:trHeight w:val="630"/>
        </w:trPr>
        <w:tc>
          <w:tcPr>
            <w:tcW w:w="658" w:type="dxa"/>
            <w:tcMar/>
            <w:hideMark/>
          </w:tcPr>
          <w:p w:rsidRPr="0040413A" w:rsidR="0040413A" w:rsidP="0040413A" w:rsidRDefault="0040413A" w14:paraId="0530CA55" w14:textId="77777777">
            <w:pPr>
              <w:jc w:val="both"/>
              <w:rPr>
                <w:rFonts w:ascii="Times New Roman" w:hAnsi="Times New Roman" w:cs="Times New Roman"/>
                <w:sz w:val="24"/>
                <w:szCs w:val="24"/>
              </w:rPr>
            </w:pPr>
            <w:r w:rsidRPr="0040413A">
              <w:rPr>
                <w:rFonts w:ascii="Times New Roman" w:hAnsi="Times New Roman" w:cs="Times New Roman"/>
                <w:sz w:val="24"/>
                <w:szCs w:val="24"/>
              </w:rPr>
              <w:t>4</w:t>
            </w:r>
          </w:p>
        </w:tc>
        <w:tc>
          <w:tcPr>
            <w:tcW w:w="7668" w:type="dxa"/>
            <w:tcMar/>
            <w:hideMark/>
          </w:tcPr>
          <w:p w:rsidRPr="00BD4755" w:rsidR="00BD4755" w:rsidP="00BD4755" w:rsidRDefault="00BD4755" w14:paraId="2261BE72" w14:textId="4528757A">
            <w:pPr>
              <w:jc w:val="both"/>
              <w:rPr>
                <w:rFonts w:ascii="Times New Roman" w:hAnsi="Times New Roman" w:cs="Times New Roman"/>
                <w:sz w:val="24"/>
                <w:szCs w:val="24"/>
              </w:rPr>
            </w:pPr>
            <w:r w:rsidRPr="41CC11D6" w:rsidR="00BD4755">
              <w:rPr>
                <w:rFonts w:ascii="Times New Roman" w:hAnsi="Times New Roman" w:cs="Times New Roman"/>
                <w:sz w:val="24"/>
                <w:szCs w:val="24"/>
              </w:rPr>
              <w:t>Projekti tegevuste tulemusena valmib innovatsiooni arendusena uudne reaalajamajanduse tervikprotsessi lahendus, mille käigus on välja töötatud vähemalt kolme erineva reaalajamajanduse äriprotsessid, hõlmates andmete tekkimist, standardiseerimist ja andmete taaskasutamist ning tehnili</w:t>
            </w:r>
            <w:r w:rsidRPr="41CC11D6" w:rsidR="00BF709C">
              <w:rPr>
                <w:rFonts w:ascii="Times New Roman" w:hAnsi="Times New Roman" w:cs="Times New Roman"/>
                <w:sz w:val="24"/>
                <w:szCs w:val="24"/>
              </w:rPr>
              <w:t>st</w:t>
            </w:r>
            <w:r w:rsidRPr="41CC11D6" w:rsidR="00BD4755">
              <w:rPr>
                <w:rFonts w:ascii="Times New Roman" w:hAnsi="Times New Roman" w:cs="Times New Roman"/>
                <w:sz w:val="24"/>
                <w:szCs w:val="24"/>
              </w:rPr>
              <w:t xml:space="preserve"> teostus</w:t>
            </w:r>
            <w:r w:rsidRPr="41CC11D6" w:rsidR="00BF709C">
              <w:rPr>
                <w:rFonts w:ascii="Times New Roman" w:hAnsi="Times New Roman" w:cs="Times New Roman"/>
                <w:sz w:val="24"/>
                <w:szCs w:val="24"/>
              </w:rPr>
              <w:t>t</w:t>
            </w:r>
            <w:r w:rsidRPr="41CC11D6" w:rsidR="00BD4755">
              <w:rPr>
                <w:rFonts w:ascii="Times New Roman" w:hAnsi="Times New Roman" w:cs="Times New Roman"/>
                <w:sz w:val="24"/>
                <w:szCs w:val="24"/>
              </w:rPr>
              <w:t xml:space="preserve"> ning see on selgelt ja põhjalikult kirjeldatud, läbi on mõeldud lahenduse </w:t>
            </w:r>
            <w:r w:rsidRPr="41CC11D6" w:rsidR="00BD4755">
              <w:rPr>
                <w:rFonts w:ascii="Times New Roman" w:hAnsi="Times New Roman" w:cs="Times New Roman"/>
                <w:sz w:val="24"/>
                <w:szCs w:val="24"/>
              </w:rPr>
              <w:t>skaleeritavus</w:t>
            </w:r>
            <w:r w:rsidRPr="41CC11D6" w:rsidR="00BD4755">
              <w:rPr>
                <w:rFonts w:ascii="Times New Roman" w:hAnsi="Times New Roman" w:cs="Times New Roman"/>
                <w:sz w:val="24"/>
                <w:szCs w:val="24"/>
              </w:rPr>
              <w:t xml:space="preserve"> järgmistele klientide</w:t>
            </w:r>
            <w:r w:rsidRPr="41CC11D6" w:rsidR="006833F5">
              <w:rPr>
                <w:rFonts w:ascii="Times New Roman" w:hAnsi="Times New Roman" w:cs="Times New Roman"/>
                <w:sz w:val="24"/>
                <w:szCs w:val="24"/>
              </w:rPr>
              <w:t>le</w:t>
            </w:r>
            <w:r w:rsidRPr="41CC11D6" w:rsidR="00BD4755">
              <w:rPr>
                <w:rFonts w:ascii="Times New Roman" w:hAnsi="Times New Roman" w:cs="Times New Roman"/>
                <w:sz w:val="24"/>
                <w:szCs w:val="24"/>
              </w:rPr>
              <w:t>.</w:t>
            </w:r>
          </w:p>
          <w:p w:rsidRPr="00BD4755" w:rsidR="00BD4755" w:rsidP="00BD4755" w:rsidRDefault="00BD4755" w14:paraId="1AD3E765" w14:textId="77777777">
            <w:pPr>
              <w:jc w:val="both"/>
              <w:rPr>
                <w:rFonts w:ascii="Times New Roman" w:hAnsi="Times New Roman" w:cs="Times New Roman"/>
                <w:sz w:val="24"/>
                <w:szCs w:val="24"/>
              </w:rPr>
            </w:pPr>
          </w:p>
          <w:p w:rsidRPr="00BD4755" w:rsidR="00BD4755" w:rsidP="00BD4755" w:rsidRDefault="00BD4755" w14:paraId="4E60C836" w14:textId="77777777">
            <w:pPr>
              <w:jc w:val="both"/>
              <w:rPr>
                <w:rFonts w:ascii="Times New Roman" w:hAnsi="Times New Roman" w:cs="Times New Roman"/>
                <w:sz w:val="24"/>
                <w:szCs w:val="24"/>
              </w:rPr>
            </w:pPr>
            <w:r w:rsidRPr="00BD4755">
              <w:rPr>
                <w:rFonts w:ascii="Times New Roman" w:hAnsi="Times New Roman" w:cs="Times New Roman"/>
                <w:sz w:val="24"/>
                <w:szCs w:val="24"/>
              </w:rPr>
              <w:t xml:space="preserve">Taotluses on selgelt kirjeldatud projekti käigus arendatavate lahenduste hetkeolukorda, soovitavat tulemust, on hästi põhjendatud projekti skoobi valik ja seatud mõõdetavad eesmärgid. </w:t>
            </w:r>
          </w:p>
          <w:p w:rsidRPr="00BD4755" w:rsidR="00BD4755" w:rsidP="00BD4755" w:rsidRDefault="00BD4755" w14:paraId="71ED9422" w14:textId="77777777">
            <w:pPr>
              <w:jc w:val="both"/>
              <w:rPr>
                <w:rFonts w:ascii="Times New Roman" w:hAnsi="Times New Roman" w:cs="Times New Roman"/>
                <w:sz w:val="24"/>
                <w:szCs w:val="24"/>
              </w:rPr>
            </w:pPr>
          </w:p>
          <w:p w:rsidRPr="00BD4755" w:rsidR="00BD4755" w:rsidP="00BD4755" w:rsidRDefault="00BD4755" w14:paraId="4258D85C" w14:textId="77777777">
            <w:pPr>
              <w:jc w:val="both"/>
              <w:rPr>
                <w:rFonts w:ascii="Times New Roman" w:hAnsi="Times New Roman" w:cs="Times New Roman"/>
                <w:sz w:val="24"/>
                <w:szCs w:val="24"/>
              </w:rPr>
            </w:pPr>
            <w:r w:rsidRPr="00BD4755">
              <w:rPr>
                <w:rFonts w:ascii="Times New Roman" w:hAnsi="Times New Roman" w:cs="Times New Roman"/>
                <w:sz w:val="24"/>
                <w:szCs w:val="24"/>
              </w:rPr>
              <w:t xml:space="preserve">Kavandatud arendusel on märkimisväärne mõju lahenduse kasutajate efektiivsemale toimimisele.  </w:t>
            </w:r>
          </w:p>
          <w:p w:rsidRPr="00BD4755" w:rsidR="00BD4755" w:rsidP="00BD4755" w:rsidRDefault="00BD4755" w14:paraId="65710C93" w14:textId="77777777">
            <w:pPr>
              <w:jc w:val="both"/>
              <w:rPr>
                <w:rFonts w:ascii="Times New Roman" w:hAnsi="Times New Roman" w:cs="Times New Roman"/>
                <w:sz w:val="24"/>
                <w:szCs w:val="24"/>
              </w:rPr>
            </w:pPr>
          </w:p>
          <w:p w:rsidRPr="00BD4755" w:rsidR="00BD4755" w:rsidP="00BD4755" w:rsidRDefault="00BD4755" w14:paraId="3CFC445C" w14:textId="77777777">
            <w:pPr>
              <w:jc w:val="both"/>
              <w:rPr>
                <w:rFonts w:ascii="Times New Roman" w:hAnsi="Times New Roman" w:cs="Times New Roman"/>
                <w:sz w:val="24"/>
                <w:szCs w:val="24"/>
              </w:rPr>
            </w:pPr>
            <w:r w:rsidRPr="00BD4755">
              <w:rPr>
                <w:rFonts w:ascii="Times New Roman" w:hAnsi="Times New Roman" w:cs="Times New Roman"/>
                <w:sz w:val="24"/>
                <w:szCs w:val="24"/>
              </w:rPr>
              <w:t xml:space="preserve">Plaanitakse luua olulise mõjuga uusi teenuseid. </w:t>
            </w:r>
          </w:p>
          <w:p w:rsidRPr="00BD4755" w:rsidR="00BD4755" w:rsidP="00BD4755" w:rsidRDefault="00BD4755" w14:paraId="34D758E9" w14:textId="77777777">
            <w:pPr>
              <w:jc w:val="both"/>
              <w:rPr>
                <w:rFonts w:ascii="Times New Roman" w:hAnsi="Times New Roman" w:cs="Times New Roman"/>
                <w:sz w:val="24"/>
                <w:szCs w:val="24"/>
              </w:rPr>
            </w:pPr>
          </w:p>
          <w:p w:rsidRPr="00BD4755" w:rsidR="00BD4755" w:rsidP="00BD4755" w:rsidRDefault="00BD4755" w14:paraId="447AB42B" w14:textId="77777777">
            <w:pPr>
              <w:jc w:val="both"/>
              <w:rPr>
                <w:rFonts w:ascii="Times New Roman" w:hAnsi="Times New Roman" w:cs="Times New Roman"/>
                <w:sz w:val="24"/>
                <w:szCs w:val="24"/>
              </w:rPr>
            </w:pPr>
            <w:r w:rsidRPr="00BD4755">
              <w:rPr>
                <w:rFonts w:ascii="Times New Roman" w:hAnsi="Times New Roman" w:cs="Times New Roman"/>
                <w:sz w:val="24"/>
                <w:szCs w:val="24"/>
              </w:rPr>
              <w:t>Kasutajamugavus on hästi läbi mõeldud.</w:t>
            </w:r>
          </w:p>
          <w:p w:rsidRPr="00BD4755" w:rsidR="00BD4755" w:rsidP="00BD4755" w:rsidRDefault="00BD4755" w14:paraId="325EA113" w14:textId="77777777">
            <w:pPr>
              <w:jc w:val="both"/>
              <w:rPr>
                <w:rFonts w:ascii="Times New Roman" w:hAnsi="Times New Roman" w:cs="Times New Roman"/>
                <w:sz w:val="24"/>
                <w:szCs w:val="24"/>
              </w:rPr>
            </w:pPr>
          </w:p>
          <w:p w:rsidRPr="00BD4755" w:rsidR="00BD4755" w:rsidP="00BD4755" w:rsidRDefault="00BD4755" w14:paraId="73562C5E" w14:textId="77777777">
            <w:pPr>
              <w:jc w:val="both"/>
              <w:rPr>
                <w:rFonts w:ascii="Times New Roman" w:hAnsi="Times New Roman" w:cs="Times New Roman"/>
                <w:sz w:val="24"/>
                <w:szCs w:val="24"/>
              </w:rPr>
            </w:pPr>
            <w:r w:rsidRPr="00BD4755">
              <w:rPr>
                <w:rFonts w:ascii="Times New Roman" w:hAnsi="Times New Roman" w:cs="Times New Roman"/>
                <w:sz w:val="24"/>
                <w:szCs w:val="24"/>
              </w:rPr>
              <w:t>Projekti turvalisusega seotud riskid on selgelt välja toodud ja  kavandatud on nende riskide maandamine.</w:t>
            </w:r>
          </w:p>
          <w:p w:rsidRPr="00BD4755" w:rsidR="00BD4755" w:rsidP="00BD4755" w:rsidRDefault="00BD4755" w14:paraId="4BF10384" w14:textId="77777777">
            <w:pPr>
              <w:jc w:val="both"/>
              <w:rPr>
                <w:rFonts w:ascii="Times New Roman" w:hAnsi="Times New Roman" w:cs="Times New Roman"/>
                <w:sz w:val="24"/>
                <w:szCs w:val="24"/>
              </w:rPr>
            </w:pPr>
          </w:p>
          <w:p w:rsidRPr="00BD4755" w:rsidR="00BD4755" w:rsidP="00BD4755" w:rsidRDefault="00BD4755" w14:paraId="7820B20C" w14:textId="77777777">
            <w:pPr>
              <w:jc w:val="both"/>
              <w:rPr>
                <w:rFonts w:ascii="Times New Roman" w:hAnsi="Times New Roman" w:cs="Times New Roman"/>
                <w:sz w:val="24"/>
                <w:szCs w:val="24"/>
              </w:rPr>
            </w:pPr>
            <w:r w:rsidRPr="00BD4755">
              <w:rPr>
                <w:rFonts w:ascii="Times New Roman" w:hAnsi="Times New Roman" w:cs="Times New Roman"/>
                <w:sz w:val="24"/>
                <w:szCs w:val="24"/>
              </w:rPr>
              <w:t>Määruse eesmärkide saavutamisele on mõju märkimisväärne.</w:t>
            </w:r>
          </w:p>
          <w:p w:rsidRPr="0040413A" w:rsidR="003F5230" w:rsidP="001E6316" w:rsidRDefault="003F5230" w14:paraId="0530CA56" w14:textId="0234C80A">
            <w:pPr>
              <w:jc w:val="both"/>
              <w:rPr>
                <w:rFonts w:ascii="Times New Roman" w:hAnsi="Times New Roman" w:cs="Times New Roman"/>
                <w:sz w:val="24"/>
                <w:szCs w:val="24"/>
              </w:rPr>
            </w:pPr>
          </w:p>
        </w:tc>
        <w:tc>
          <w:tcPr>
            <w:tcW w:w="1314" w:type="dxa"/>
            <w:vMerge w:val="restart"/>
            <w:tcMar/>
            <w:hideMark/>
          </w:tcPr>
          <w:p w:rsidRPr="0040413A" w:rsidR="0040413A" w:rsidP="0040413A" w:rsidRDefault="0040413A" w14:paraId="0530CA57" w14:textId="77777777">
            <w:pPr>
              <w:jc w:val="both"/>
              <w:rPr>
                <w:rFonts w:ascii="Times New Roman" w:hAnsi="Times New Roman" w:cs="Times New Roman"/>
                <w:sz w:val="24"/>
                <w:szCs w:val="24"/>
              </w:rPr>
            </w:pPr>
            <w:r w:rsidRPr="0040413A">
              <w:rPr>
                <w:rFonts w:ascii="Times New Roman" w:hAnsi="Times New Roman" w:cs="Times New Roman"/>
                <w:sz w:val="24"/>
                <w:szCs w:val="24"/>
              </w:rPr>
              <w:t> </w:t>
            </w:r>
          </w:p>
        </w:tc>
      </w:tr>
      <w:tr w:rsidRPr="0040413A" w:rsidR="0040413A" w:rsidTr="41CC11D6" w14:paraId="0530CA5C" w14:textId="77777777">
        <w:trPr>
          <w:trHeight w:val="360"/>
        </w:trPr>
        <w:tc>
          <w:tcPr>
            <w:tcW w:w="658" w:type="dxa"/>
            <w:noWrap/>
            <w:tcMar/>
            <w:hideMark/>
          </w:tcPr>
          <w:p w:rsidRPr="0040413A" w:rsidR="0040413A" w:rsidP="0040413A" w:rsidRDefault="0040413A" w14:paraId="0530CA59" w14:textId="77777777">
            <w:pPr>
              <w:jc w:val="both"/>
              <w:rPr>
                <w:rFonts w:ascii="Times New Roman" w:hAnsi="Times New Roman" w:cs="Times New Roman"/>
                <w:sz w:val="24"/>
                <w:szCs w:val="24"/>
              </w:rPr>
            </w:pPr>
            <w:r w:rsidRPr="0040413A">
              <w:rPr>
                <w:rFonts w:ascii="Times New Roman" w:hAnsi="Times New Roman" w:cs="Times New Roman"/>
                <w:sz w:val="24"/>
                <w:szCs w:val="24"/>
              </w:rPr>
              <w:t>3</w:t>
            </w:r>
          </w:p>
        </w:tc>
        <w:tc>
          <w:tcPr>
            <w:tcW w:w="7668" w:type="dxa"/>
            <w:noWrap/>
            <w:tcMar/>
            <w:hideMark/>
          </w:tcPr>
          <w:p w:rsidRPr="0040413A" w:rsidR="0040413A" w:rsidP="0040413A" w:rsidRDefault="0040413A" w14:paraId="0530CA5A" w14:textId="77777777">
            <w:pPr>
              <w:jc w:val="both"/>
              <w:rPr>
                <w:rFonts w:ascii="Times New Roman" w:hAnsi="Times New Roman" w:cs="Times New Roman"/>
                <w:i/>
                <w:iCs/>
                <w:sz w:val="24"/>
                <w:szCs w:val="24"/>
              </w:rPr>
            </w:pPr>
            <w:r w:rsidRPr="0040413A">
              <w:rPr>
                <w:rFonts w:ascii="Times New Roman" w:hAnsi="Times New Roman" w:cs="Times New Roman"/>
                <w:i/>
                <w:iCs/>
                <w:sz w:val="24"/>
                <w:szCs w:val="24"/>
              </w:rPr>
              <w:t>Vahepealne hinnang</w:t>
            </w:r>
          </w:p>
        </w:tc>
        <w:tc>
          <w:tcPr>
            <w:tcW w:w="1314" w:type="dxa"/>
            <w:vMerge/>
            <w:tcMar/>
            <w:hideMark/>
          </w:tcPr>
          <w:p w:rsidRPr="0040413A" w:rsidR="0040413A" w:rsidP="0040413A" w:rsidRDefault="0040413A" w14:paraId="0530CA5B" w14:textId="77777777">
            <w:pPr>
              <w:jc w:val="both"/>
              <w:rPr>
                <w:rFonts w:ascii="Times New Roman" w:hAnsi="Times New Roman" w:cs="Times New Roman"/>
                <w:sz w:val="24"/>
                <w:szCs w:val="24"/>
              </w:rPr>
            </w:pPr>
          </w:p>
        </w:tc>
      </w:tr>
    </w:tbl>
    <w:p w:rsidR="006E5AC4" w:rsidRDefault="006E5AC4" w14:paraId="18186CAB" w14:textId="77777777">
      <w:r>
        <w:br w:type="page"/>
      </w:r>
    </w:p>
    <w:tbl>
      <w:tblPr>
        <w:tblStyle w:val="TableGrid"/>
        <w:tblW w:w="9640" w:type="dxa"/>
        <w:tblLook w:val="04A0" w:firstRow="1" w:lastRow="0" w:firstColumn="1" w:lastColumn="0" w:noHBand="0" w:noVBand="1"/>
      </w:tblPr>
      <w:tblGrid>
        <w:gridCol w:w="658"/>
        <w:gridCol w:w="7668"/>
        <w:gridCol w:w="1314"/>
      </w:tblGrid>
      <w:tr w:rsidRPr="0040413A" w:rsidR="0040413A" w:rsidTr="41CC11D6" w14:paraId="0530CA60" w14:textId="77777777">
        <w:trPr>
          <w:trHeight w:val="600"/>
        </w:trPr>
        <w:tc>
          <w:tcPr>
            <w:tcW w:w="658" w:type="dxa"/>
            <w:tcMar/>
            <w:hideMark/>
          </w:tcPr>
          <w:p w:rsidRPr="0040413A" w:rsidR="0040413A" w:rsidP="0040413A" w:rsidRDefault="0040413A" w14:paraId="0530CA5D" w14:textId="3FE6E628">
            <w:pPr>
              <w:jc w:val="both"/>
              <w:rPr>
                <w:rFonts w:ascii="Times New Roman" w:hAnsi="Times New Roman" w:cs="Times New Roman"/>
                <w:sz w:val="24"/>
                <w:szCs w:val="24"/>
              </w:rPr>
            </w:pPr>
            <w:r w:rsidRPr="0040413A">
              <w:rPr>
                <w:rFonts w:ascii="Times New Roman" w:hAnsi="Times New Roman" w:cs="Times New Roman"/>
                <w:sz w:val="24"/>
                <w:szCs w:val="24"/>
              </w:rPr>
              <w:lastRenderedPageBreak/>
              <w:t>2</w:t>
            </w:r>
          </w:p>
        </w:tc>
        <w:tc>
          <w:tcPr>
            <w:tcW w:w="7668" w:type="dxa"/>
            <w:tcMar/>
            <w:hideMark/>
          </w:tcPr>
          <w:p w:rsidRPr="00BD4755" w:rsidR="00BD4755" w:rsidP="00BD4755" w:rsidRDefault="00BD4755" w14:paraId="147BE1BD" w14:textId="77777777">
            <w:pPr>
              <w:jc w:val="both"/>
              <w:rPr>
                <w:rFonts w:ascii="Times New Roman" w:hAnsi="Times New Roman" w:cs="Times New Roman"/>
                <w:sz w:val="24"/>
                <w:szCs w:val="24"/>
              </w:rPr>
            </w:pPr>
            <w:r w:rsidRPr="00BD4755">
              <w:rPr>
                <w:rFonts w:ascii="Times New Roman" w:hAnsi="Times New Roman" w:cs="Times New Roman"/>
                <w:sz w:val="24"/>
                <w:szCs w:val="24"/>
              </w:rPr>
              <w:t xml:space="preserve">Projekti tegevuste tulemusena valmib innovatsiooni arendusena uudne reaalajamajanduse tervikprotsessi lahendus, mille puhul on välja töötatud äriprotsessid, tehniline teostus, tugineb andmevahetusstandardile ning selle skaleeritavus on võimalik, kuid selle arendamine nõuab oluliselt ressursse.  </w:t>
            </w:r>
          </w:p>
          <w:p w:rsidRPr="00BD4755" w:rsidR="00BD4755" w:rsidP="00BD4755" w:rsidRDefault="00BD4755" w14:paraId="6F8FC95A" w14:textId="77777777">
            <w:pPr>
              <w:jc w:val="both"/>
              <w:rPr>
                <w:rFonts w:ascii="Times New Roman" w:hAnsi="Times New Roman" w:cs="Times New Roman"/>
                <w:sz w:val="24"/>
                <w:szCs w:val="24"/>
              </w:rPr>
            </w:pPr>
          </w:p>
          <w:p w:rsidRPr="00BD4755" w:rsidR="00BD4755" w:rsidP="00BD4755" w:rsidRDefault="00BD4755" w14:paraId="7A2C7CA6" w14:textId="77777777">
            <w:pPr>
              <w:jc w:val="both"/>
              <w:rPr>
                <w:rFonts w:ascii="Times New Roman" w:hAnsi="Times New Roman" w:cs="Times New Roman"/>
                <w:sz w:val="24"/>
                <w:szCs w:val="24"/>
              </w:rPr>
            </w:pPr>
            <w:r w:rsidRPr="00BD4755">
              <w:rPr>
                <w:rFonts w:ascii="Times New Roman" w:hAnsi="Times New Roman" w:cs="Times New Roman"/>
                <w:sz w:val="24"/>
                <w:szCs w:val="24"/>
              </w:rPr>
              <w:t>Taotluses on üldsõnaliselt selgitatud esitamise hetkeolukorda ning soovitavat tulemust. Projekti skoobi valik või mõõdetavad eesmärgid on üldsõnalised.</w:t>
            </w:r>
          </w:p>
          <w:p w:rsidRPr="00BD4755" w:rsidR="00BD4755" w:rsidP="00BD4755" w:rsidRDefault="00BD4755" w14:paraId="17B6EF5B" w14:textId="77777777">
            <w:pPr>
              <w:jc w:val="both"/>
              <w:rPr>
                <w:rFonts w:ascii="Times New Roman" w:hAnsi="Times New Roman" w:cs="Times New Roman"/>
                <w:sz w:val="24"/>
                <w:szCs w:val="24"/>
              </w:rPr>
            </w:pPr>
          </w:p>
          <w:p w:rsidRPr="00BD4755" w:rsidR="00BD4755" w:rsidP="00BD4755" w:rsidRDefault="00BD4755" w14:paraId="6009440F" w14:textId="77777777">
            <w:pPr>
              <w:jc w:val="both"/>
              <w:rPr>
                <w:rFonts w:ascii="Times New Roman" w:hAnsi="Times New Roman" w:cs="Times New Roman"/>
                <w:sz w:val="24"/>
                <w:szCs w:val="24"/>
              </w:rPr>
            </w:pPr>
            <w:r w:rsidRPr="00BD4755">
              <w:rPr>
                <w:rFonts w:ascii="Times New Roman" w:hAnsi="Times New Roman" w:cs="Times New Roman"/>
                <w:sz w:val="24"/>
                <w:szCs w:val="24"/>
              </w:rPr>
              <w:t>Kavandatud arendusel on mõningane mõju ettevõtja efektiivsemale toimimisele.</w:t>
            </w:r>
          </w:p>
          <w:p w:rsidRPr="00BD4755" w:rsidR="00BD4755" w:rsidP="00BD4755" w:rsidRDefault="00BD4755" w14:paraId="5E84D0A9" w14:textId="77777777">
            <w:pPr>
              <w:jc w:val="both"/>
              <w:rPr>
                <w:rFonts w:ascii="Times New Roman" w:hAnsi="Times New Roman" w:cs="Times New Roman"/>
                <w:sz w:val="24"/>
                <w:szCs w:val="24"/>
              </w:rPr>
            </w:pPr>
          </w:p>
          <w:p w:rsidRPr="00BD4755" w:rsidR="00BD4755" w:rsidP="00BD4755" w:rsidRDefault="00BD4755" w14:paraId="2845BBBD" w14:textId="77777777">
            <w:pPr>
              <w:jc w:val="both"/>
              <w:rPr>
                <w:rFonts w:ascii="Times New Roman" w:hAnsi="Times New Roman" w:cs="Times New Roman"/>
                <w:sz w:val="24"/>
                <w:szCs w:val="24"/>
              </w:rPr>
            </w:pPr>
            <w:r w:rsidRPr="00BD4755">
              <w:rPr>
                <w:rFonts w:ascii="Times New Roman" w:hAnsi="Times New Roman" w:cs="Times New Roman"/>
                <w:sz w:val="24"/>
                <w:szCs w:val="24"/>
              </w:rPr>
              <w:t xml:space="preserve">Loodavad uued teenused on tagasihoidliku mõjuga. </w:t>
            </w:r>
          </w:p>
          <w:p w:rsidRPr="00BD4755" w:rsidR="00BD4755" w:rsidP="00BD4755" w:rsidRDefault="00BD4755" w14:paraId="163FFB0F" w14:textId="77777777">
            <w:pPr>
              <w:jc w:val="both"/>
              <w:rPr>
                <w:rFonts w:ascii="Times New Roman" w:hAnsi="Times New Roman" w:cs="Times New Roman"/>
                <w:sz w:val="24"/>
                <w:szCs w:val="24"/>
              </w:rPr>
            </w:pPr>
          </w:p>
          <w:p w:rsidRPr="00BD4755" w:rsidR="00BD4755" w:rsidP="00BD4755" w:rsidRDefault="00BD4755" w14:paraId="2F8F272C" w14:textId="77777777">
            <w:pPr>
              <w:jc w:val="both"/>
              <w:rPr>
                <w:rFonts w:ascii="Times New Roman" w:hAnsi="Times New Roman" w:cs="Times New Roman"/>
                <w:sz w:val="24"/>
                <w:szCs w:val="24"/>
              </w:rPr>
            </w:pPr>
            <w:r w:rsidRPr="00BD4755">
              <w:rPr>
                <w:rFonts w:ascii="Times New Roman" w:hAnsi="Times New Roman" w:cs="Times New Roman"/>
                <w:sz w:val="24"/>
                <w:szCs w:val="24"/>
              </w:rPr>
              <w:t>Kasutajamugavusele on mõeldud vähesel määral.</w:t>
            </w:r>
          </w:p>
          <w:p w:rsidRPr="00BD4755" w:rsidR="00BD4755" w:rsidP="00BD4755" w:rsidRDefault="00BD4755" w14:paraId="21DE89B8" w14:textId="77777777">
            <w:pPr>
              <w:jc w:val="both"/>
              <w:rPr>
                <w:rFonts w:ascii="Times New Roman" w:hAnsi="Times New Roman" w:cs="Times New Roman"/>
                <w:sz w:val="24"/>
                <w:szCs w:val="24"/>
              </w:rPr>
            </w:pPr>
          </w:p>
          <w:p w:rsidRPr="00BD4755" w:rsidR="00BD4755" w:rsidP="00BD4755" w:rsidRDefault="00BD4755" w14:paraId="71561D4D" w14:textId="77777777">
            <w:pPr>
              <w:jc w:val="both"/>
              <w:rPr>
                <w:rFonts w:ascii="Times New Roman" w:hAnsi="Times New Roman" w:cs="Times New Roman"/>
                <w:sz w:val="24"/>
                <w:szCs w:val="24"/>
              </w:rPr>
            </w:pPr>
            <w:r w:rsidRPr="00BD4755">
              <w:rPr>
                <w:rFonts w:ascii="Times New Roman" w:hAnsi="Times New Roman" w:cs="Times New Roman"/>
                <w:sz w:val="24"/>
                <w:szCs w:val="24"/>
              </w:rPr>
              <w:t>Projekti turvalisusega seotud riskid on keskmisel määral või osaliselt välja toodud ja  samas maandamistegevusi veenvalt planeeritud ei ole.</w:t>
            </w:r>
          </w:p>
          <w:p w:rsidRPr="00BD4755" w:rsidR="00BD4755" w:rsidP="00BD4755" w:rsidRDefault="00BD4755" w14:paraId="0FAEFB6D" w14:textId="77777777">
            <w:pPr>
              <w:jc w:val="both"/>
              <w:rPr>
                <w:rFonts w:ascii="Times New Roman" w:hAnsi="Times New Roman" w:cs="Times New Roman"/>
                <w:sz w:val="24"/>
                <w:szCs w:val="24"/>
              </w:rPr>
            </w:pPr>
          </w:p>
          <w:p w:rsidR="00FE0913" w:rsidP="00BD4755" w:rsidRDefault="00BD4755" w14:paraId="21D1F221" w14:textId="46F0402A">
            <w:pPr>
              <w:jc w:val="both"/>
              <w:rPr>
                <w:rFonts w:ascii="Times New Roman" w:hAnsi="Times New Roman" w:cs="Times New Roman"/>
                <w:sz w:val="24"/>
                <w:szCs w:val="24"/>
              </w:rPr>
            </w:pPr>
            <w:r w:rsidRPr="00BD4755">
              <w:rPr>
                <w:rFonts w:ascii="Times New Roman" w:hAnsi="Times New Roman" w:cs="Times New Roman"/>
                <w:sz w:val="24"/>
                <w:szCs w:val="24"/>
              </w:rPr>
              <w:t>Määruse eesmärkide saavutamisele on mõju keskpärane.</w:t>
            </w:r>
          </w:p>
          <w:p w:rsidR="00B413B4" w:rsidP="009A16BC" w:rsidRDefault="00B413B4" w14:paraId="21DE427E" w14:textId="77777777">
            <w:pPr>
              <w:jc w:val="both"/>
              <w:rPr>
                <w:rFonts w:ascii="Times New Roman" w:hAnsi="Times New Roman" w:cs="Times New Roman"/>
                <w:sz w:val="24"/>
                <w:szCs w:val="24"/>
              </w:rPr>
            </w:pPr>
          </w:p>
          <w:p w:rsidRPr="0040413A" w:rsidR="00C748D2" w:rsidP="00323128" w:rsidRDefault="00C748D2" w14:paraId="0530CA5E" w14:textId="3B361905">
            <w:pPr>
              <w:jc w:val="both"/>
              <w:rPr>
                <w:rFonts w:ascii="Times New Roman" w:hAnsi="Times New Roman" w:cs="Times New Roman"/>
                <w:sz w:val="24"/>
                <w:szCs w:val="24"/>
              </w:rPr>
            </w:pPr>
          </w:p>
        </w:tc>
        <w:tc>
          <w:tcPr>
            <w:tcW w:w="1314" w:type="dxa"/>
            <w:vMerge w:val="restart"/>
            <w:tcMar/>
            <w:hideMark/>
          </w:tcPr>
          <w:p w:rsidRPr="0040413A" w:rsidR="0040413A" w:rsidP="0040413A" w:rsidRDefault="0040413A" w14:paraId="0530CA5F" w14:textId="77777777">
            <w:pPr>
              <w:jc w:val="both"/>
              <w:rPr>
                <w:rFonts w:ascii="Times New Roman" w:hAnsi="Times New Roman" w:cs="Times New Roman"/>
                <w:sz w:val="24"/>
                <w:szCs w:val="24"/>
              </w:rPr>
            </w:pPr>
          </w:p>
        </w:tc>
      </w:tr>
      <w:tr w:rsidRPr="0040413A" w:rsidR="0040413A" w:rsidTr="41CC11D6" w14:paraId="0530CA64" w14:textId="77777777">
        <w:trPr>
          <w:trHeight w:val="360"/>
        </w:trPr>
        <w:tc>
          <w:tcPr>
            <w:tcW w:w="658" w:type="dxa"/>
            <w:noWrap/>
            <w:tcMar/>
            <w:hideMark/>
          </w:tcPr>
          <w:p w:rsidRPr="0040413A" w:rsidR="0040413A" w:rsidP="0040413A" w:rsidRDefault="0040413A" w14:paraId="0530CA61" w14:textId="77777777">
            <w:pPr>
              <w:jc w:val="both"/>
              <w:rPr>
                <w:rFonts w:ascii="Times New Roman" w:hAnsi="Times New Roman" w:cs="Times New Roman"/>
                <w:sz w:val="24"/>
                <w:szCs w:val="24"/>
              </w:rPr>
            </w:pPr>
            <w:r w:rsidRPr="0040413A">
              <w:rPr>
                <w:rFonts w:ascii="Times New Roman" w:hAnsi="Times New Roman" w:cs="Times New Roman"/>
                <w:sz w:val="24"/>
                <w:szCs w:val="24"/>
              </w:rPr>
              <w:t>1</w:t>
            </w:r>
          </w:p>
        </w:tc>
        <w:tc>
          <w:tcPr>
            <w:tcW w:w="7668" w:type="dxa"/>
            <w:noWrap/>
            <w:tcMar/>
            <w:hideMark/>
          </w:tcPr>
          <w:p w:rsidRPr="0040413A" w:rsidR="0040413A" w:rsidP="0040413A" w:rsidRDefault="0040413A" w14:paraId="0530CA62" w14:textId="77777777">
            <w:pPr>
              <w:jc w:val="both"/>
              <w:rPr>
                <w:rFonts w:ascii="Times New Roman" w:hAnsi="Times New Roman" w:cs="Times New Roman"/>
                <w:i/>
                <w:iCs/>
                <w:sz w:val="24"/>
                <w:szCs w:val="24"/>
              </w:rPr>
            </w:pPr>
            <w:r w:rsidRPr="0040413A">
              <w:rPr>
                <w:rFonts w:ascii="Times New Roman" w:hAnsi="Times New Roman" w:cs="Times New Roman"/>
                <w:i/>
                <w:iCs/>
                <w:sz w:val="24"/>
                <w:szCs w:val="24"/>
              </w:rPr>
              <w:t>Vahepealne hinnang</w:t>
            </w:r>
          </w:p>
        </w:tc>
        <w:tc>
          <w:tcPr>
            <w:tcW w:w="1314" w:type="dxa"/>
            <w:vMerge/>
            <w:tcMar/>
            <w:hideMark/>
          </w:tcPr>
          <w:p w:rsidRPr="0040413A" w:rsidR="0040413A" w:rsidP="0040413A" w:rsidRDefault="0040413A" w14:paraId="0530CA63" w14:textId="77777777">
            <w:pPr>
              <w:jc w:val="both"/>
              <w:rPr>
                <w:rFonts w:ascii="Times New Roman" w:hAnsi="Times New Roman" w:cs="Times New Roman"/>
                <w:sz w:val="24"/>
                <w:szCs w:val="24"/>
              </w:rPr>
            </w:pPr>
          </w:p>
        </w:tc>
      </w:tr>
      <w:tr w:rsidRPr="0040413A" w:rsidR="0040413A" w:rsidTr="41CC11D6" w14:paraId="0530CA68" w14:textId="77777777">
        <w:trPr>
          <w:trHeight w:val="900"/>
        </w:trPr>
        <w:tc>
          <w:tcPr>
            <w:tcW w:w="658" w:type="dxa"/>
            <w:tcMar/>
            <w:hideMark/>
          </w:tcPr>
          <w:p w:rsidRPr="0040413A" w:rsidR="0040413A" w:rsidP="0040413A" w:rsidRDefault="0040413A" w14:paraId="0530CA65" w14:textId="77777777">
            <w:pPr>
              <w:jc w:val="both"/>
              <w:rPr>
                <w:rFonts w:ascii="Times New Roman" w:hAnsi="Times New Roman" w:cs="Times New Roman"/>
                <w:sz w:val="24"/>
                <w:szCs w:val="24"/>
              </w:rPr>
            </w:pPr>
            <w:r w:rsidRPr="0040413A">
              <w:rPr>
                <w:rFonts w:ascii="Times New Roman" w:hAnsi="Times New Roman" w:cs="Times New Roman"/>
                <w:sz w:val="24"/>
                <w:szCs w:val="24"/>
              </w:rPr>
              <w:t>0</w:t>
            </w:r>
          </w:p>
        </w:tc>
        <w:tc>
          <w:tcPr>
            <w:tcW w:w="7668" w:type="dxa"/>
            <w:tcMar/>
            <w:hideMark/>
          </w:tcPr>
          <w:p w:rsidRPr="00BD4755" w:rsidR="00BD4755" w:rsidP="00BD4755" w:rsidRDefault="00BD4755" w14:paraId="540AFD69" w14:textId="09DC0056">
            <w:pPr>
              <w:jc w:val="both"/>
              <w:rPr>
                <w:rFonts w:ascii="Times New Roman" w:hAnsi="Times New Roman" w:cs="Times New Roman"/>
                <w:sz w:val="24"/>
                <w:szCs w:val="24"/>
              </w:rPr>
            </w:pPr>
            <w:r w:rsidRPr="41CC11D6" w:rsidR="00BD4755">
              <w:rPr>
                <w:rFonts w:ascii="Times New Roman" w:hAnsi="Times New Roman" w:cs="Times New Roman"/>
                <w:sz w:val="24"/>
                <w:szCs w:val="24"/>
              </w:rPr>
              <w:t>Projekti tegevuste tulemusena ei valmi reaalajamajanduse tervikprotsessi lahendus või loodaval lahendusel puudub tervikli</w:t>
            </w:r>
            <w:r w:rsidRPr="41CC11D6" w:rsidR="003A3D97">
              <w:rPr>
                <w:rFonts w:ascii="Times New Roman" w:hAnsi="Times New Roman" w:cs="Times New Roman"/>
                <w:sz w:val="24"/>
                <w:szCs w:val="24"/>
              </w:rPr>
              <w:t>k</w:t>
            </w:r>
            <w:r w:rsidRPr="41CC11D6" w:rsidR="00BD4755">
              <w:rPr>
                <w:rFonts w:ascii="Times New Roman" w:hAnsi="Times New Roman" w:cs="Times New Roman"/>
                <w:sz w:val="24"/>
                <w:szCs w:val="24"/>
              </w:rPr>
              <w:t xml:space="preserve">kus ja olulised komponendid ning seda ei ole võimalik </w:t>
            </w:r>
            <w:r w:rsidRPr="41CC11D6" w:rsidR="00BD4755">
              <w:rPr>
                <w:rFonts w:ascii="Times New Roman" w:hAnsi="Times New Roman" w:cs="Times New Roman"/>
                <w:sz w:val="24"/>
                <w:szCs w:val="24"/>
              </w:rPr>
              <w:t>skaleerida</w:t>
            </w:r>
            <w:r w:rsidRPr="41CC11D6" w:rsidR="00BD4755">
              <w:rPr>
                <w:rFonts w:ascii="Times New Roman" w:hAnsi="Times New Roman" w:cs="Times New Roman"/>
                <w:sz w:val="24"/>
                <w:szCs w:val="24"/>
              </w:rPr>
              <w:t xml:space="preserve"> järgmistele klientidele.</w:t>
            </w:r>
          </w:p>
          <w:p w:rsidRPr="00BD4755" w:rsidR="00BD4755" w:rsidP="00BD4755" w:rsidRDefault="00BD4755" w14:paraId="44A87668" w14:textId="77777777">
            <w:pPr>
              <w:jc w:val="both"/>
              <w:rPr>
                <w:rFonts w:ascii="Times New Roman" w:hAnsi="Times New Roman" w:cs="Times New Roman"/>
                <w:sz w:val="24"/>
                <w:szCs w:val="24"/>
              </w:rPr>
            </w:pPr>
          </w:p>
          <w:p w:rsidRPr="00BD4755" w:rsidR="00BD4755" w:rsidP="00BD4755" w:rsidRDefault="00BD4755" w14:paraId="0DD33A11" w14:textId="0B3DAD79">
            <w:pPr>
              <w:jc w:val="both"/>
              <w:rPr>
                <w:rFonts w:ascii="Times New Roman" w:hAnsi="Times New Roman" w:cs="Times New Roman"/>
                <w:sz w:val="24"/>
                <w:szCs w:val="24"/>
              </w:rPr>
            </w:pPr>
            <w:r w:rsidRPr="41CC11D6" w:rsidR="00BD4755">
              <w:rPr>
                <w:rFonts w:ascii="Times New Roman" w:hAnsi="Times New Roman" w:cs="Times New Roman"/>
                <w:sz w:val="24"/>
                <w:szCs w:val="24"/>
              </w:rPr>
              <w:t xml:space="preserve">Ei nähtu, kuidas loodava lahenduse abil planeeritakse tulevikus </w:t>
            </w:r>
            <w:r w:rsidRPr="41CC11D6" w:rsidR="00127801">
              <w:rPr>
                <w:rFonts w:ascii="Times New Roman" w:hAnsi="Times New Roman" w:cs="Times New Roman"/>
                <w:sz w:val="24"/>
                <w:szCs w:val="24"/>
              </w:rPr>
              <w:t>jõu</w:t>
            </w:r>
            <w:r w:rsidRPr="41CC11D6" w:rsidR="00127801">
              <w:rPr>
                <w:rFonts w:ascii="Times New Roman" w:hAnsi="Times New Roman" w:cs="Times New Roman"/>
                <w:sz w:val="24"/>
                <w:szCs w:val="24"/>
              </w:rPr>
              <w:t>da</w:t>
            </w:r>
            <w:r w:rsidRPr="41CC11D6" w:rsidR="00127801">
              <w:rPr>
                <w:rFonts w:ascii="Times New Roman" w:hAnsi="Times New Roman" w:cs="Times New Roman"/>
                <w:sz w:val="24"/>
                <w:szCs w:val="24"/>
              </w:rPr>
              <w:t xml:space="preserve"> </w:t>
            </w:r>
            <w:r w:rsidRPr="41CC11D6" w:rsidR="00BD4755">
              <w:rPr>
                <w:rFonts w:ascii="Times New Roman" w:hAnsi="Times New Roman" w:cs="Times New Roman"/>
                <w:sz w:val="24"/>
                <w:szCs w:val="24"/>
              </w:rPr>
              <w:t>suurema arvu klientideni.  Projekti skoobi valik või mõõdetavad eesmärgid on  põhjendamata.</w:t>
            </w:r>
          </w:p>
          <w:p w:rsidRPr="00BD4755" w:rsidR="00BD4755" w:rsidP="00BD4755" w:rsidRDefault="00BD4755" w14:paraId="7B67602F" w14:textId="77777777">
            <w:pPr>
              <w:jc w:val="both"/>
              <w:rPr>
                <w:rFonts w:ascii="Times New Roman" w:hAnsi="Times New Roman" w:cs="Times New Roman"/>
                <w:sz w:val="24"/>
                <w:szCs w:val="24"/>
              </w:rPr>
            </w:pPr>
          </w:p>
          <w:p w:rsidRPr="00BD4755" w:rsidR="00BD4755" w:rsidP="00BD4755" w:rsidRDefault="00BD4755" w14:paraId="47E1EC40" w14:textId="6578B15C">
            <w:pPr>
              <w:jc w:val="both"/>
              <w:rPr>
                <w:rFonts w:ascii="Times New Roman" w:hAnsi="Times New Roman" w:cs="Times New Roman"/>
                <w:sz w:val="24"/>
                <w:szCs w:val="24"/>
              </w:rPr>
            </w:pPr>
            <w:r w:rsidRPr="41CC11D6" w:rsidR="00BD4755">
              <w:rPr>
                <w:rFonts w:ascii="Times New Roman" w:hAnsi="Times New Roman" w:cs="Times New Roman"/>
                <w:sz w:val="24"/>
                <w:szCs w:val="24"/>
              </w:rPr>
              <w:t>Kavandatud arendusel ei ole mõju ettevõtja efektiivsemale toimimisele (nt  aruandekohuslaste halduskoormus või protsessid ei muutu</w:t>
            </w:r>
            <w:r w:rsidRPr="41CC11D6" w:rsidR="00871800">
              <w:rPr>
                <w:rFonts w:ascii="Times New Roman" w:hAnsi="Times New Roman" w:cs="Times New Roman"/>
                <w:sz w:val="24"/>
                <w:szCs w:val="24"/>
              </w:rPr>
              <w:t xml:space="preserve"> </w:t>
            </w:r>
            <w:r w:rsidRPr="41CC11D6" w:rsidR="00BD4755">
              <w:rPr>
                <w:rFonts w:ascii="Times New Roman" w:hAnsi="Times New Roman" w:cs="Times New Roman"/>
                <w:sz w:val="24"/>
                <w:szCs w:val="24"/>
              </w:rPr>
              <w:t xml:space="preserve">oluliselt kiiremaks ega tõhusamaks või kasutajamugavuse osas muutusi ei too). </w:t>
            </w:r>
          </w:p>
          <w:p w:rsidRPr="00BD4755" w:rsidR="00BD4755" w:rsidP="00BD4755" w:rsidRDefault="00BD4755" w14:paraId="413132C9" w14:textId="77777777">
            <w:pPr>
              <w:jc w:val="both"/>
              <w:rPr>
                <w:rFonts w:ascii="Times New Roman" w:hAnsi="Times New Roman" w:cs="Times New Roman"/>
                <w:sz w:val="24"/>
                <w:szCs w:val="24"/>
              </w:rPr>
            </w:pPr>
          </w:p>
          <w:p w:rsidRPr="00BD4755" w:rsidR="00BD4755" w:rsidP="00BD4755" w:rsidRDefault="00BD4755" w14:paraId="17761334" w14:textId="77777777">
            <w:pPr>
              <w:jc w:val="both"/>
              <w:rPr>
                <w:rFonts w:ascii="Times New Roman" w:hAnsi="Times New Roman" w:cs="Times New Roman"/>
                <w:sz w:val="24"/>
                <w:szCs w:val="24"/>
              </w:rPr>
            </w:pPr>
            <w:r w:rsidRPr="00BD4755">
              <w:rPr>
                <w:rFonts w:ascii="Times New Roman" w:hAnsi="Times New Roman" w:cs="Times New Roman"/>
                <w:sz w:val="24"/>
                <w:szCs w:val="24"/>
              </w:rPr>
              <w:t xml:space="preserve">Uusi teenuseid ei plaanita luua. </w:t>
            </w:r>
          </w:p>
          <w:p w:rsidRPr="00BD4755" w:rsidR="00BD4755" w:rsidP="00BD4755" w:rsidRDefault="00BD4755" w14:paraId="27CB5EA0" w14:textId="77777777">
            <w:pPr>
              <w:jc w:val="both"/>
              <w:rPr>
                <w:rFonts w:ascii="Times New Roman" w:hAnsi="Times New Roman" w:cs="Times New Roman"/>
                <w:sz w:val="24"/>
                <w:szCs w:val="24"/>
              </w:rPr>
            </w:pPr>
          </w:p>
          <w:p w:rsidRPr="00BD4755" w:rsidR="00BD4755" w:rsidP="00BD4755" w:rsidRDefault="00BD4755" w14:paraId="3FF9E476" w14:textId="77777777">
            <w:pPr>
              <w:jc w:val="both"/>
              <w:rPr>
                <w:rFonts w:ascii="Times New Roman" w:hAnsi="Times New Roman" w:cs="Times New Roman"/>
                <w:sz w:val="24"/>
                <w:szCs w:val="24"/>
              </w:rPr>
            </w:pPr>
            <w:r w:rsidRPr="00BD4755">
              <w:rPr>
                <w:rFonts w:ascii="Times New Roman" w:hAnsi="Times New Roman" w:cs="Times New Roman"/>
                <w:sz w:val="24"/>
                <w:szCs w:val="24"/>
              </w:rPr>
              <w:t xml:space="preserve">Kasutajamugavusele ei ole mõeldud. </w:t>
            </w:r>
          </w:p>
          <w:p w:rsidRPr="00BD4755" w:rsidR="00BD4755" w:rsidP="00BD4755" w:rsidRDefault="00BD4755" w14:paraId="70BE4F84" w14:textId="77777777">
            <w:pPr>
              <w:jc w:val="both"/>
              <w:rPr>
                <w:rFonts w:ascii="Times New Roman" w:hAnsi="Times New Roman" w:cs="Times New Roman"/>
                <w:sz w:val="24"/>
                <w:szCs w:val="24"/>
              </w:rPr>
            </w:pPr>
          </w:p>
          <w:p w:rsidRPr="00BD4755" w:rsidR="00BD4755" w:rsidP="00BD4755" w:rsidRDefault="00BD4755" w14:paraId="4FFD7430" w14:textId="52E0ECE0">
            <w:pPr>
              <w:jc w:val="both"/>
              <w:rPr>
                <w:rFonts w:ascii="Times New Roman" w:hAnsi="Times New Roman" w:cs="Times New Roman"/>
                <w:sz w:val="24"/>
                <w:szCs w:val="24"/>
              </w:rPr>
            </w:pPr>
            <w:r w:rsidRPr="41CC11D6" w:rsidR="00BD4755">
              <w:rPr>
                <w:rFonts w:ascii="Times New Roman" w:hAnsi="Times New Roman" w:cs="Times New Roman"/>
                <w:sz w:val="24"/>
                <w:szCs w:val="24"/>
              </w:rPr>
              <w:t xml:space="preserve">Projekti turvalisusega seotud riskid </w:t>
            </w:r>
            <w:r w:rsidRPr="41CC11D6" w:rsidR="00BD4755">
              <w:rPr>
                <w:rFonts w:ascii="Times New Roman" w:hAnsi="Times New Roman" w:cs="Times New Roman"/>
                <w:sz w:val="24"/>
                <w:szCs w:val="24"/>
              </w:rPr>
              <w:t xml:space="preserve">puuduvad või </w:t>
            </w:r>
            <w:r w:rsidRPr="41CC11D6" w:rsidR="001435B3">
              <w:rPr>
                <w:rFonts w:ascii="Times New Roman" w:hAnsi="Times New Roman" w:cs="Times New Roman"/>
                <w:sz w:val="24"/>
                <w:szCs w:val="24"/>
              </w:rPr>
              <w:t xml:space="preserve">on </w:t>
            </w:r>
            <w:r w:rsidRPr="41CC11D6" w:rsidR="00BD4755">
              <w:rPr>
                <w:rFonts w:ascii="Times New Roman" w:hAnsi="Times New Roman" w:cs="Times New Roman"/>
                <w:sz w:val="24"/>
                <w:szCs w:val="24"/>
              </w:rPr>
              <w:t xml:space="preserve">väga vähesel määral välja toodud ja ei ole kavandatud </w:t>
            </w:r>
            <w:r w:rsidRPr="41CC11D6" w:rsidR="00BD4755">
              <w:rPr>
                <w:rFonts w:ascii="Times New Roman" w:hAnsi="Times New Roman" w:cs="Times New Roman"/>
                <w:sz w:val="24"/>
                <w:szCs w:val="24"/>
              </w:rPr>
              <w:t>nende riskide maandamine.</w:t>
            </w:r>
          </w:p>
          <w:p w:rsidRPr="00BD4755" w:rsidR="00BD4755" w:rsidP="00BD4755" w:rsidRDefault="00BD4755" w14:paraId="495F2B61" w14:textId="77777777">
            <w:pPr>
              <w:jc w:val="both"/>
              <w:rPr>
                <w:rFonts w:ascii="Times New Roman" w:hAnsi="Times New Roman" w:cs="Times New Roman"/>
                <w:sz w:val="24"/>
                <w:szCs w:val="24"/>
              </w:rPr>
            </w:pPr>
          </w:p>
          <w:p w:rsidRPr="0040413A" w:rsidR="00FE0913" w:rsidP="00BD4755" w:rsidRDefault="00842220" w14:paraId="0530CA66" w14:textId="0E091FF9">
            <w:pPr>
              <w:spacing w:after="160"/>
              <w:jc w:val="both"/>
              <w:rPr>
                <w:rFonts w:ascii="Times New Roman" w:hAnsi="Times New Roman" w:cs="Times New Roman"/>
                <w:sz w:val="24"/>
                <w:szCs w:val="24"/>
              </w:rPr>
            </w:pPr>
            <w:r>
              <w:rPr>
                <w:rFonts w:ascii="Times New Roman" w:hAnsi="Times New Roman" w:cs="Times New Roman"/>
                <w:sz w:val="24"/>
                <w:szCs w:val="24"/>
              </w:rPr>
              <w:t>M</w:t>
            </w:r>
            <w:r w:rsidRPr="00BD4755" w:rsidR="00BD4755">
              <w:rPr>
                <w:rFonts w:ascii="Times New Roman" w:hAnsi="Times New Roman" w:cs="Times New Roman"/>
                <w:sz w:val="24"/>
                <w:szCs w:val="24"/>
              </w:rPr>
              <w:t xml:space="preserve">ääruse eesmärkide saavutamisele on </w:t>
            </w:r>
            <w:r>
              <w:rPr>
                <w:rFonts w:ascii="Times New Roman" w:hAnsi="Times New Roman" w:cs="Times New Roman"/>
                <w:sz w:val="24"/>
                <w:szCs w:val="24"/>
              </w:rPr>
              <w:t xml:space="preserve">mõju </w:t>
            </w:r>
            <w:r w:rsidRPr="00BD4755" w:rsidR="00BD4755">
              <w:rPr>
                <w:rFonts w:ascii="Times New Roman" w:hAnsi="Times New Roman" w:cs="Times New Roman"/>
                <w:sz w:val="24"/>
                <w:szCs w:val="24"/>
              </w:rPr>
              <w:t>nõrk.</w:t>
            </w:r>
          </w:p>
        </w:tc>
        <w:tc>
          <w:tcPr>
            <w:tcW w:w="1314" w:type="dxa"/>
            <w:vMerge/>
            <w:tcMar/>
            <w:hideMark/>
          </w:tcPr>
          <w:p w:rsidRPr="0040413A" w:rsidR="0040413A" w:rsidP="0040413A" w:rsidRDefault="0040413A" w14:paraId="0530CA67" w14:textId="77777777">
            <w:pPr>
              <w:jc w:val="both"/>
              <w:rPr>
                <w:rFonts w:ascii="Times New Roman" w:hAnsi="Times New Roman" w:cs="Times New Roman"/>
                <w:sz w:val="24"/>
                <w:szCs w:val="24"/>
              </w:rPr>
            </w:pPr>
          </w:p>
        </w:tc>
      </w:tr>
      <w:tr w:rsidRPr="0040413A" w:rsidR="00AC5CEE" w:rsidTr="41CC11D6" w14:paraId="0530CA85" w14:textId="77777777">
        <w:trPr>
          <w:trHeight w:val="499"/>
        </w:trPr>
        <w:tc>
          <w:tcPr>
            <w:tcW w:w="8326" w:type="dxa"/>
            <w:gridSpan w:val="2"/>
            <w:shd w:val="clear" w:color="auto" w:fill="CCFFCC"/>
            <w:tcMar/>
            <w:hideMark/>
          </w:tcPr>
          <w:p w:rsidRPr="004A568F" w:rsidR="004A568F" w:rsidP="00335F18" w:rsidRDefault="00AC5CEE" w14:paraId="0530CA83" w14:textId="342F6996">
            <w:pPr>
              <w:pStyle w:val="ListParagraph"/>
              <w:numPr>
                <w:ilvl w:val="0"/>
                <w:numId w:val="12"/>
              </w:numPr>
              <w:jc w:val="both"/>
              <w:rPr>
                <w:rFonts w:ascii="Times New Roman" w:hAnsi="Times New Roman" w:cs="Times New Roman"/>
                <w:b/>
                <w:bCs/>
                <w:sz w:val="24"/>
                <w:szCs w:val="24"/>
              </w:rPr>
            </w:pPr>
            <w:r w:rsidRPr="004A568F">
              <w:rPr>
                <w:rFonts w:ascii="Times New Roman" w:hAnsi="Times New Roman" w:cs="Times New Roman"/>
                <w:b/>
                <w:bCs/>
                <w:sz w:val="24"/>
                <w:szCs w:val="24"/>
              </w:rPr>
              <w:t xml:space="preserve">Taotleja võimekus projekti </w:t>
            </w:r>
            <w:bookmarkStart w:name="_Hlk129789138" w:id="11"/>
            <w:r w:rsidRPr="00335F18" w:rsidR="004A568F">
              <w:rPr>
                <w:rFonts w:ascii="Times New Roman" w:hAnsi="Times New Roman" w:cs="Times New Roman"/>
                <w:b/>
                <w:bCs/>
                <w:sz w:val="24"/>
                <w:szCs w:val="24"/>
              </w:rPr>
              <w:t>tegevuste tegemiseks</w:t>
            </w:r>
            <w:r w:rsidRPr="0027004A" w:rsidR="004A568F">
              <w:rPr>
                <w:rFonts w:eastAsia="Times New Roman"/>
              </w:rPr>
              <w:t xml:space="preserve"> </w:t>
            </w:r>
            <w:bookmarkEnd w:id="11"/>
          </w:p>
        </w:tc>
        <w:tc>
          <w:tcPr>
            <w:tcW w:w="1314" w:type="dxa"/>
            <w:shd w:val="clear" w:color="auto" w:fill="CCFFCC"/>
            <w:tcMar/>
            <w:hideMark/>
          </w:tcPr>
          <w:p w:rsidRPr="0040413A" w:rsidR="00AC5CEE" w:rsidP="0040413A" w:rsidRDefault="00AC5CEE" w14:paraId="0530CA84" w14:textId="0ECC6694">
            <w:pPr>
              <w:jc w:val="both"/>
              <w:rPr>
                <w:rFonts w:ascii="Times New Roman" w:hAnsi="Times New Roman" w:cs="Times New Roman"/>
                <w:i/>
                <w:iCs/>
                <w:sz w:val="24"/>
                <w:szCs w:val="24"/>
              </w:rPr>
            </w:pPr>
            <w:r>
              <w:rPr>
                <w:rFonts w:ascii="Times New Roman" w:hAnsi="Times New Roman" w:cs="Times New Roman"/>
                <w:i/>
                <w:iCs/>
                <w:sz w:val="24"/>
                <w:szCs w:val="24"/>
              </w:rPr>
              <w:t>2</w:t>
            </w:r>
            <w:r w:rsidRPr="0040413A">
              <w:rPr>
                <w:rFonts w:ascii="Times New Roman" w:hAnsi="Times New Roman" w:cs="Times New Roman"/>
                <w:i/>
                <w:iCs/>
                <w:sz w:val="24"/>
                <w:szCs w:val="24"/>
              </w:rPr>
              <w:t>0%</w:t>
            </w:r>
          </w:p>
        </w:tc>
      </w:tr>
      <w:tr w:rsidRPr="0040413A" w:rsidR="00AC5CEE" w:rsidTr="41CC11D6" w14:paraId="0530CA88" w14:textId="77777777">
        <w:trPr>
          <w:trHeight w:val="499"/>
        </w:trPr>
        <w:tc>
          <w:tcPr>
            <w:tcW w:w="8326" w:type="dxa"/>
            <w:gridSpan w:val="2"/>
            <w:tcMar/>
            <w:hideMark/>
          </w:tcPr>
          <w:p w:rsidRPr="0040413A" w:rsidR="00AC5CEE" w:rsidP="0040413A" w:rsidRDefault="2D0A5F4E" w14:paraId="0530CA86" w14:textId="23B99EEF">
            <w:pPr>
              <w:jc w:val="both"/>
              <w:rPr>
                <w:rFonts w:ascii="Times New Roman" w:hAnsi="Times New Roman" w:cs="Times New Roman"/>
                <w:sz w:val="24"/>
                <w:szCs w:val="24"/>
              </w:rPr>
            </w:pPr>
            <w:r w:rsidRPr="340F5371">
              <w:rPr>
                <w:rFonts w:ascii="Times New Roman" w:hAnsi="Times New Roman" w:cs="Times New Roman"/>
                <w:sz w:val="24"/>
                <w:szCs w:val="24"/>
              </w:rPr>
              <w:t>Hinnatakse</w:t>
            </w:r>
            <w:r w:rsidRPr="00335F18" w:rsidR="00335F18">
              <w:rPr>
                <w:rFonts w:ascii="Times New Roman" w:hAnsi="Times New Roman" w:cs="Times New Roman"/>
                <w:sz w:val="24"/>
                <w:szCs w:val="24"/>
              </w:rPr>
              <w:t xml:space="preserve">, kuidas on tagatud taotleja kvalifikatsioon, jätkusuutlikkus, organisatsioonilised ja tehnilised eeldused ning riskide juhtimise oskus </w:t>
            </w:r>
            <w:r w:rsidRPr="340F5371">
              <w:rPr>
                <w:rFonts w:ascii="Times New Roman" w:hAnsi="Times New Roman" w:cs="Times New Roman"/>
                <w:sz w:val="24"/>
                <w:szCs w:val="24"/>
              </w:rPr>
              <w:t>– osakaal 20 protsendipunkti koondhindes.</w:t>
            </w:r>
          </w:p>
        </w:tc>
        <w:tc>
          <w:tcPr>
            <w:tcW w:w="1314" w:type="dxa"/>
            <w:tcMar/>
            <w:hideMark/>
          </w:tcPr>
          <w:p w:rsidRPr="0040413A" w:rsidR="00AC5CEE" w:rsidP="0040413A" w:rsidRDefault="00AC5CEE" w14:paraId="0530CA87" w14:textId="3E88D715">
            <w:pPr>
              <w:jc w:val="both"/>
              <w:rPr>
                <w:rFonts w:ascii="Times New Roman" w:hAnsi="Times New Roman" w:cs="Times New Roman"/>
                <w:b/>
                <w:bCs/>
                <w:sz w:val="24"/>
                <w:szCs w:val="24"/>
              </w:rPr>
            </w:pPr>
            <w:r w:rsidRPr="0040413A">
              <w:rPr>
                <w:rFonts w:ascii="Times New Roman" w:hAnsi="Times New Roman" w:cs="Times New Roman"/>
                <w:b/>
                <w:bCs/>
                <w:sz w:val="24"/>
                <w:szCs w:val="24"/>
              </w:rPr>
              <w:t> </w:t>
            </w:r>
          </w:p>
        </w:tc>
      </w:tr>
      <w:tr w:rsidRPr="0040413A" w:rsidR="00AE6B7C" w:rsidTr="41CC11D6" w14:paraId="4C057351" w14:textId="77777777">
        <w:trPr>
          <w:trHeight w:val="499"/>
        </w:trPr>
        <w:tc>
          <w:tcPr>
            <w:tcW w:w="8326" w:type="dxa"/>
            <w:gridSpan w:val="2"/>
            <w:shd w:val="clear" w:color="auto" w:fill="CCFFCC"/>
            <w:tcMar/>
          </w:tcPr>
          <w:p w:rsidRPr="00A15006" w:rsidR="00AE6B7C" w:rsidP="0040413A" w:rsidRDefault="00AE6B7C" w14:paraId="13BF2859" w14:textId="0A4D97D9">
            <w:pPr>
              <w:jc w:val="both"/>
              <w:rPr>
                <w:rFonts w:ascii="Times New Roman" w:hAnsi="Times New Roman" w:cs="Times New Roman"/>
                <w:b/>
                <w:bCs/>
                <w:sz w:val="24"/>
                <w:szCs w:val="24"/>
              </w:rPr>
            </w:pPr>
            <w:r w:rsidRPr="00A15006">
              <w:rPr>
                <w:rFonts w:ascii="Times New Roman" w:hAnsi="Times New Roman" w:cs="Times New Roman"/>
                <w:b/>
                <w:bCs/>
                <w:sz w:val="24"/>
                <w:szCs w:val="24"/>
              </w:rPr>
              <w:t>2.1</w:t>
            </w:r>
            <w:r w:rsidRPr="00A15006" w:rsidR="00CA2CFF">
              <w:rPr>
                <w:rFonts w:ascii="Times New Roman" w:hAnsi="Times New Roman" w:cs="Times New Roman"/>
                <w:b/>
                <w:bCs/>
                <w:sz w:val="24"/>
                <w:szCs w:val="24"/>
              </w:rPr>
              <w:t xml:space="preserve"> Taotleja kui organisatsiooni võimekus</w:t>
            </w:r>
          </w:p>
        </w:tc>
        <w:tc>
          <w:tcPr>
            <w:tcW w:w="1314" w:type="dxa"/>
            <w:shd w:val="clear" w:color="auto" w:fill="CCFFCC"/>
            <w:tcMar/>
          </w:tcPr>
          <w:p w:rsidRPr="0040413A" w:rsidR="00AE6B7C" w:rsidP="0040413A" w:rsidRDefault="00A15006" w14:paraId="277B9B67" w14:textId="36C9EB0B">
            <w:pPr>
              <w:jc w:val="both"/>
              <w:rPr>
                <w:rFonts w:ascii="Times New Roman" w:hAnsi="Times New Roman" w:cs="Times New Roman"/>
                <w:b/>
                <w:bCs/>
                <w:sz w:val="24"/>
                <w:szCs w:val="24"/>
              </w:rPr>
            </w:pPr>
            <w:r>
              <w:rPr>
                <w:rFonts w:ascii="Times New Roman" w:hAnsi="Times New Roman" w:cs="Times New Roman"/>
                <w:b/>
                <w:bCs/>
                <w:sz w:val="24"/>
                <w:szCs w:val="24"/>
              </w:rPr>
              <w:t>50%</w:t>
            </w:r>
          </w:p>
        </w:tc>
      </w:tr>
      <w:tr w:rsidRPr="0040413A" w:rsidR="00AC5CEE" w:rsidTr="41CC11D6" w14:paraId="0530CA8C" w14:textId="77777777">
        <w:trPr>
          <w:trHeight w:val="900"/>
        </w:trPr>
        <w:tc>
          <w:tcPr>
            <w:tcW w:w="658" w:type="dxa"/>
            <w:noWrap/>
            <w:tcMar/>
            <w:hideMark/>
          </w:tcPr>
          <w:p w:rsidRPr="0040413A" w:rsidR="00AC5CEE" w:rsidP="0040413A" w:rsidRDefault="00AC5CEE" w14:paraId="0530CA89" w14:textId="22B0129A">
            <w:pPr>
              <w:jc w:val="both"/>
              <w:rPr>
                <w:rFonts w:ascii="Times New Roman" w:hAnsi="Times New Roman" w:cs="Times New Roman"/>
                <w:sz w:val="24"/>
                <w:szCs w:val="24"/>
              </w:rPr>
            </w:pPr>
            <w:r w:rsidRPr="0040413A">
              <w:rPr>
                <w:rFonts w:ascii="Times New Roman" w:hAnsi="Times New Roman" w:cs="Times New Roman"/>
                <w:sz w:val="24"/>
                <w:szCs w:val="24"/>
              </w:rPr>
              <w:lastRenderedPageBreak/>
              <w:t>4</w:t>
            </w:r>
          </w:p>
        </w:tc>
        <w:tc>
          <w:tcPr>
            <w:tcW w:w="7668" w:type="dxa"/>
            <w:tcMar/>
            <w:hideMark/>
          </w:tcPr>
          <w:p w:rsidR="009A1587" w:rsidP="0040413A" w:rsidRDefault="2D0A5F4E" w14:paraId="638406B3" w14:textId="77777777">
            <w:pPr>
              <w:jc w:val="both"/>
              <w:rPr>
                <w:rFonts w:ascii="Times New Roman" w:hAnsi="Times New Roman" w:cs="Times New Roman"/>
                <w:sz w:val="24"/>
                <w:szCs w:val="24"/>
              </w:rPr>
            </w:pPr>
            <w:r w:rsidRPr="340F5371">
              <w:rPr>
                <w:rFonts w:ascii="Times New Roman" w:hAnsi="Times New Roman" w:cs="Times New Roman"/>
                <w:sz w:val="24"/>
                <w:szCs w:val="24"/>
              </w:rPr>
              <w:t xml:space="preserve">Taotleja finantsvõimekus (omavahendid või laen) on piisav, et kindlustada taotluses toodud tegevuste elluviimiseks vajalik omafinantseerimine, projekti eesmärkide saavutamine ja tulemuste pikaajaline jätkusuutlikkus. </w:t>
            </w:r>
          </w:p>
          <w:p w:rsidRPr="0040413A" w:rsidR="002D1346" w:rsidP="0040413A" w:rsidRDefault="2D0A5F4E" w14:paraId="0530CA8A" w14:textId="7A00C79A">
            <w:pPr>
              <w:jc w:val="both"/>
              <w:rPr>
                <w:rFonts w:ascii="Times New Roman" w:hAnsi="Times New Roman" w:cs="Times New Roman"/>
                <w:sz w:val="24"/>
                <w:szCs w:val="24"/>
              </w:rPr>
            </w:pPr>
            <w:r w:rsidRPr="340F5371">
              <w:rPr>
                <w:rFonts w:ascii="Times New Roman" w:hAnsi="Times New Roman" w:cs="Times New Roman"/>
                <w:sz w:val="24"/>
                <w:szCs w:val="24"/>
              </w:rPr>
              <w:t>Riskide realiseerumisel on ettevõt</w:t>
            </w:r>
            <w:r w:rsidR="003A4F8D">
              <w:rPr>
                <w:rFonts w:ascii="Times New Roman" w:hAnsi="Times New Roman" w:cs="Times New Roman"/>
                <w:sz w:val="24"/>
                <w:szCs w:val="24"/>
              </w:rPr>
              <w:t>ja</w:t>
            </w:r>
            <w:r w:rsidRPr="340F5371">
              <w:rPr>
                <w:rFonts w:ascii="Times New Roman" w:hAnsi="Times New Roman" w:cs="Times New Roman"/>
                <w:sz w:val="24"/>
                <w:szCs w:val="24"/>
              </w:rPr>
              <w:t xml:space="preserve">l piisav puhver, et projekti tegevustega jätkata ning tema tavapärasele äritegevusele ei avalda see olulist mõju. </w:t>
            </w:r>
          </w:p>
        </w:tc>
        <w:tc>
          <w:tcPr>
            <w:tcW w:w="1314" w:type="dxa"/>
            <w:vMerge w:val="restart"/>
            <w:tcMar/>
            <w:textDirection w:val="btLr"/>
            <w:hideMark/>
          </w:tcPr>
          <w:p w:rsidRPr="0040413A" w:rsidR="00AC5CEE" w:rsidP="0040413A" w:rsidRDefault="00AC5CEE" w14:paraId="0530CA8B" w14:textId="77777777">
            <w:pPr>
              <w:jc w:val="both"/>
              <w:rPr>
                <w:rFonts w:ascii="Times New Roman" w:hAnsi="Times New Roman" w:cs="Times New Roman"/>
                <w:sz w:val="24"/>
                <w:szCs w:val="24"/>
              </w:rPr>
            </w:pPr>
            <w:r w:rsidRPr="0040413A">
              <w:rPr>
                <w:rFonts w:ascii="Times New Roman" w:hAnsi="Times New Roman" w:cs="Times New Roman"/>
                <w:sz w:val="24"/>
                <w:szCs w:val="24"/>
              </w:rPr>
              <w:t> </w:t>
            </w:r>
          </w:p>
        </w:tc>
      </w:tr>
      <w:tr w:rsidRPr="0040413A" w:rsidR="00AC5CEE" w:rsidTr="41CC11D6" w14:paraId="0530CA90" w14:textId="77777777">
        <w:trPr>
          <w:trHeight w:val="300"/>
        </w:trPr>
        <w:tc>
          <w:tcPr>
            <w:tcW w:w="658" w:type="dxa"/>
            <w:noWrap/>
            <w:tcMar/>
            <w:hideMark/>
          </w:tcPr>
          <w:p w:rsidRPr="0040413A" w:rsidR="00AC5CEE" w:rsidP="0040413A" w:rsidRDefault="00AC5CEE" w14:paraId="0530CA8D" w14:textId="117604CC">
            <w:pPr>
              <w:jc w:val="both"/>
              <w:rPr>
                <w:rFonts w:ascii="Times New Roman" w:hAnsi="Times New Roman" w:cs="Times New Roman"/>
                <w:sz w:val="24"/>
                <w:szCs w:val="24"/>
              </w:rPr>
            </w:pPr>
            <w:r w:rsidRPr="0040413A">
              <w:rPr>
                <w:rFonts w:ascii="Times New Roman" w:hAnsi="Times New Roman" w:cs="Times New Roman"/>
                <w:sz w:val="24"/>
                <w:szCs w:val="24"/>
              </w:rPr>
              <w:t>3</w:t>
            </w:r>
          </w:p>
        </w:tc>
        <w:tc>
          <w:tcPr>
            <w:tcW w:w="7668" w:type="dxa"/>
            <w:tcMar/>
            <w:hideMark/>
          </w:tcPr>
          <w:p w:rsidRPr="0040413A" w:rsidR="00AC5CEE" w:rsidP="0040413A" w:rsidRDefault="00AC5CEE" w14:paraId="0530CA8E" w14:textId="77A2B7A2">
            <w:pPr>
              <w:jc w:val="both"/>
              <w:rPr>
                <w:rFonts w:ascii="Times New Roman" w:hAnsi="Times New Roman" w:cs="Times New Roman"/>
                <w:sz w:val="24"/>
                <w:szCs w:val="24"/>
              </w:rPr>
            </w:pPr>
            <w:r w:rsidRPr="0040413A">
              <w:rPr>
                <w:rFonts w:ascii="Times New Roman" w:hAnsi="Times New Roman" w:cs="Times New Roman"/>
                <w:sz w:val="24"/>
                <w:szCs w:val="24"/>
              </w:rPr>
              <w:t>Vahepealne hinnang</w:t>
            </w:r>
          </w:p>
        </w:tc>
        <w:tc>
          <w:tcPr>
            <w:tcW w:w="1314" w:type="dxa"/>
            <w:vMerge/>
            <w:tcMar/>
            <w:hideMark/>
          </w:tcPr>
          <w:p w:rsidRPr="0040413A" w:rsidR="00AC5CEE" w:rsidP="0040413A" w:rsidRDefault="00AC5CEE" w14:paraId="0530CA8F" w14:textId="77777777">
            <w:pPr>
              <w:jc w:val="both"/>
              <w:rPr>
                <w:rFonts w:ascii="Times New Roman" w:hAnsi="Times New Roman" w:cs="Times New Roman"/>
                <w:sz w:val="24"/>
                <w:szCs w:val="24"/>
              </w:rPr>
            </w:pPr>
          </w:p>
        </w:tc>
      </w:tr>
      <w:tr w:rsidRPr="0040413A" w:rsidR="00AC5CEE" w:rsidTr="41CC11D6" w14:paraId="0530CA94" w14:textId="77777777">
        <w:trPr>
          <w:trHeight w:val="600"/>
        </w:trPr>
        <w:tc>
          <w:tcPr>
            <w:tcW w:w="658" w:type="dxa"/>
            <w:noWrap/>
            <w:tcMar/>
            <w:hideMark/>
          </w:tcPr>
          <w:p w:rsidRPr="0040413A" w:rsidR="00AC5CEE" w:rsidP="0040413A" w:rsidRDefault="00AC5CEE" w14:paraId="0530CA91" w14:textId="386BC487">
            <w:pPr>
              <w:jc w:val="both"/>
              <w:rPr>
                <w:rFonts w:ascii="Times New Roman" w:hAnsi="Times New Roman" w:cs="Times New Roman"/>
                <w:sz w:val="24"/>
                <w:szCs w:val="24"/>
              </w:rPr>
            </w:pPr>
            <w:r w:rsidRPr="0040413A">
              <w:rPr>
                <w:rFonts w:ascii="Times New Roman" w:hAnsi="Times New Roman" w:cs="Times New Roman"/>
                <w:sz w:val="24"/>
                <w:szCs w:val="24"/>
              </w:rPr>
              <w:t>2</w:t>
            </w:r>
          </w:p>
        </w:tc>
        <w:tc>
          <w:tcPr>
            <w:tcW w:w="7668" w:type="dxa"/>
            <w:tcMar/>
            <w:hideMark/>
          </w:tcPr>
          <w:p w:rsidR="005517C5" w:rsidP="0040413A" w:rsidRDefault="00AC5CEE" w14:paraId="17C4561D" w14:textId="77777777">
            <w:pPr>
              <w:jc w:val="both"/>
              <w:rPr>
                <w:rFonts w:ascii="Times New Roman" w:hAnsi="Times New Roman" w:cs="Times New Roman"/>
                <w:sz w:val="24"/>
                <w:szCs w:val="24"/>
              </w:rPr>
            </w:pPr>
            <w:r w:rsidRPr="0040413A">
              <w:rPr>
                <w:rFonts w:ascii="Times New Roman" w:hAnsi="Times New Roman" w:cs="Times New Roman"/>
                <w:sz w:val="24"/>
                <w:szCs w:val="24"/>
              </w:rPr>
              <w:t>Taotleja finantsvõimekus on keskpärane, et kindlustada taotluses toodud tegevuste omafinantseerimine ja projekti eesmärkide saavutamine ja tulemuste jätkusuutlikkuse tagamine.</w:t>
            </w:r>
            <w:r w:rsidR="004F6824">
              <w:rPr>
                <w:rFonts w:ascii="Times New Roman" w:hAnsi="Times New Roman" w:cs="Times New Roman"/>
                <w:sz w:val="24"/>
                <w:szCs w:val="24"/>
              </w:rPr>
              <w:t xml:space="preserve"> </w:t>
            </w:r>
          </w:p>
          <w:p w:rsidRPr="0040413A" w:rsidR="002D1346" w:rsidP="00AE6B7C" w:rsidRDefault="00AC5CEE" w14:paraId="0530CA92" w14:textId="7F2F1982">
            <w:pPr>
              <w:jc w:val="both"/>
              <w:rPr>
                <w:rFonts w:ascii="Times New Roman" w:hAnsi="Times New Roman" w:cs="Times New Roman"/>
                <w:sz w:val="24"/>
                <w:szCs w:val="24"/>
              </w:rPr>
            </w:pPr>
            <w:r w:rsidRPr="0040413A">
              <w:rPr>
                <w:rFonts w:ascii="Times New Roman" w:hAnsi="Times New Roman" w:cs="Times New Roman"/>
                <w:sz w:val="24"/>
                <w:szCs w:val="24"/>
              </w:rPr>
              <w:t xml:space="preserve">Taotlejal on võimalik vajadusel kaasata täiendavaid finantsvahendeid tegevuskavas ettenähtud </w:t>
            </w:r>
            <w:r w:rsidR="00683DE0">
              <w:rPr>
                <w:rFonts w:ascii="Times New Roman" w:hAnsi="Times New Roman" w:cs="Times New Roman"/>
                <w:sz w:val="24"/>
                <w:szCs w:val="24"/>
              </w:rPr>
              <w:t>tegevuste</w:t>
            </w:r>
            <w:r w:rsidRPr="0040413A" w:rsidR="00683DE0">
              <w:rPr>
                <w:rFonts w:ascii="Times New Roman" w:hAnsi="Times New Roman" w:cs="Times New Roman"/>
                <w:sz w:val="24"/>
                <w:szCs w:val="24"/>
              </w:rPr>
              <w:t xml:space="preserve"> </w:t>
            </w:r>
            <w:r w:rsidRPr="0040413A">
              <w:rPr>
                <w:rFonts w:ascii="Times New Roman" w:hAnsi="Times New Roman" w:cs="Times New Roman"/>
                <w:sz w:val="24"/>
                <w:szCs w:val="24"/>
              </w:rPr>
              <w:t>teostamiseks. Riskide maandamise plaan on olemas. Projekti ebaõnnestumise korral on võimalik jätkata tavapärase äritegevusega. Riskide realiseerumisel on projekti jätkamine küsitav.</w:t>
            </w:r>
          </w:p>
        </w:tc>
        <w:tc>
          <w:tcPr>
            <w:tcW w:w="1314" w:type="dxa"/>
            <w:vMerge/>
            <w:tcMar/>
            <w:hideMark/>
          </w:tcPr>
          <w:p w:rsidRPr="0040413A" w:rsidR="00AC5CEE" w:rsidP="0040413A" w:rsidRDefault="00AC5CEE" w14:paraId="0530CA93" w14:textId="77777777">
            <w:pPr>
              <w:jc w:val="both"/>
              <w:rPr>
                <w:rFonts w:ascii="Times New Roman" w:hAnsi="Times New Roman" w:cs="Times New Roman"/>
                <w:sz w:val="24"/>
                <w:szCs w:val="24"/>
              </w:rPr>
            </w:pPr>
          </w:p>
        </w:tc>
      </w:tr>
      <w:tr w:rsidRPr="0040413A" w:rsidR="00AC5CEE" w:rsidTr="41CC11D6" w14:paraId="0530CA98" w14:textId="77777777">
        <w:trPr>
          <w:trHeight w:val="300"/>
        </w:trPr>
        <w:tc>
          <w:tcPr>
            <w:tcW w:w="658" w:type="dxa"/>
            <w:noWrap/>
            <w:tcMar/>
            <w:hideMark/>
          </w:tcPr>
          <w:p w:rsidRPr="0040413A" w:rsidR="00AC5CEE" w:rsidP="0040413A" w:rsidRDefault="00AC5CEE" w14:paraId="0530CA95" w14:textId="26434C91">
            <w:pPr>
              <w:jc w:val="both"/>
              <w:rPr>
                <w:rFonts w:ascii="Times New Roman" w:hAnsi="Times New Roman" w:cs="Times New Roman"/>
                <w:sz w:val="24"/>
                <w:szCs w:val="24"/>
              </w:rPr>
            </w:pPr>
            <w:r w:rsidRPr="0040413A">
              <w:rPr>
                <w:rFonts w:ascii="Times New Roman" w:hAnsi="Times New Roman" w:cs="Times New Roman"/>
                <w:sz w:val="24"/>
                <w:szCs w:val="24"/>
              </w:rPr>
              <w:t>1</w:t>
            </w:r>
          </w:p>
        </w:tc>
        <w:tc>
          <w:tcPr>
            <w:tcW w:w="7668" w:type="dxa"/>
            <w:tcMar/>
            <w:hideMark/>
          </w:tcPr>
          <w:p w:rsidRPr="0040413A" w:rsidR="00AC5CEE" w:rsidP="0040413A" w:rsidRDefault="00AC5CEE" w14:paraId="0530CA96" w14:textId="7EDD2160">
            <w:pPr>
              <w:jc w:val="both"/>
              <w:rPr>
                <w:rFonts w:ascii="Times New Roman" w:hAnsi="Times New Roman" w:cs="Times New Roman"/>
                <w:sz w:val="24"/>
                <w:szCs w:val="24"/>
              </w:rPr>
            </w:pPr>
            <w:r w:rsidRPr="0040413A">
              <w:rPr>
                <w:rFonts w:ascii="Times New Roman" w:hAnsi="Times New Roman" w:cs="Times New Roman"/>
                <w:sz w:val="24"/>
                <w:szCs w:val="24"/>
              </w:rPr>
              <w:t>Vahepealne hinnang</w:t>
            </w:r>
          </w:p>
        </w:tc>
        <w:tc>
          <w:tcPr>
            <w:tcW w:w="1314" w:type="dxa"/>
            <w:vMerge/>
            <w:tcMar/>
            <w:hideMark/>
          </w:tcPr>
          <w:p w:rsidRPr="0040413A" w:rsidR="00AC5CEE" w:rsidP="0040413A" w:rsidRDefault="00AC5CEE" w14:paraId="0530CA97" w14:textId="77777777">
            <w:pPr>
              <w:jc w:val="both"/>
              <w:rPr>
                <w:rFonts w:ascii="Times New Roman" w:hAnsi="Times New Roman" w:cs="Times New Roman"/>
                <w:sz w:val="24"/>
                <w:szCs w:val="24"/>
              </w:rPr>
            </w:pPr>
          </w:p>
        </w:tc>
      </w:tr>
      <w:tr w:rsidRPr="0040413A" w:rsidR="00AC5CEE" w:rsidTr="41CC11D6" w14:paraId="0530CA9C" w14:textId="77777777">
        <w:trPr>
          <w:trHeight w:val="600"/>
        </w:trPr>
        <w:tc>
          <w:tcPr>
            <w:tcW w:w="658" w:type="dxa"/>
            <w:noWrap/>
            <w:tcMar/>
            <w:hideMark/>
          </w:tcPr>
          <w:p w:rsidRPr="0040413A" w:rsidR="00AC5CEE" w:rsidP="0040413A" w:rsidRDefault="00AC5CEE" w14:paraId="0530CA99" w14:textId="045663C1">
            <w:pPr>
              <w:jc w:val="both"/>
              <w:rPr>
                <w:rFonts w:ascii="Times New Roman" w:hAnsi="Times New Roman" w:cs="Times New Roman"/>
                <w:sz w:val="24"/>
                <w:szCs w:val="24"/>
              </w:rPr>
            </w:pPr>
            <w:r w:rsidRPr="0040413A">
              <w:rPr>
                <w:rFonts w:ascii="Times New Roman" w:hAnsi="Times New Roman" w:cs="Times New Roman"/>
                <w:sz w:val="24"/>
                <w:szCs w:val="24"/>
              </w:rPr>
              <w:t>0</w:t>
            </w:r>
          </w:p>
        </w:tc>
        <w:tc>
          <w:tcPr>
            <w:tcW w:w="7668" w:type="dxa"/>
            <w:tcMar/>
            <w:hideMark/>
          </w:tcPr>
          <w:p w:rsidR="00E408F9" w:rsidP="0040413A" w:rsidRDefault="00AC5CEE" w14:paraId="2A533217" w14:textId="4CF28F14">
            <w:pPr>
              <w:jc w:val="both"/>
              <w:rPr>
                <w:rFonts w:ascii="Times New Roman" w:hAnsi="Times New Roman" w:cs="Times New Roman"/>
                <w:sz w:val="24"/>
                <w:szCs w:val="24"/>
              </w:rPr>
            </w:pPr>
            <w:r w:rsidRPr="0040413A">
              <w:rPr>
                <w:rFonts w:ascii="Times New Roman" w:hAnsi="Times New Roman" w:cs="Times New Roman"/>
                <w:sz w:val="24"/>
                <w:szCs w:val="24"/>
              </w:rPr>
              <w:t xml:space="preserve">Taotleja finantsvõimekus ei ole piisav, et tagada projekti omafinantseerimine. Taotlejal puuduvad finantsvahendid või võimalused täiendavate finantsvahendite kaasamiseks tegevuskavas ettenähtud </w:t>
            </w:r>
            <w:r w:rsidR="00C74A30">
              <w:rPr>
                <w:rFonts w:ascii="Times New Roman" w:hAnsi="Times New Roman" w:cs="Times New Roman"/>
                <w:sz w:val="24"/>
                <w:szCs w:val="24"/>
              </w:rPr>
              <w:t>tegevuste</w:t>
            </w:r>
            <w:r w:rsidRPr="0040413A" w:rsidR="00C74A30">
              <w:rPr>
                <w:rFonts w:ascii="Times New Roman" w:hAnsi="Times New Roman" w:cs="Times New Roman"/>
                <w:sz w:val="24"/>
                <w:szCs w:val="24"/>
              </w:rPr>
              <w:t xml:space="preserve"> </w:t>
            </w:r>
            <w:r w:rsidRPr="0040413A">
              <w:rPr>
                <w:rFonts w:ascii="Times New Roman" w:hAnsi="Times New Roman" w:cs="Times New Roman"/>
                <w:sz w:val="24"/>
                <w:szCs w:val="24"/>
              </w:rPr>
              <w:t xml:space="preserve">teostamiseks ning projekti eesmärkide elluviimiseks ja tulemuste jätkusuutlikkuse tagamiseks. </w:t>
            </w:r>
          </w:p>
          <w:p w:rsidR="00AC5CEE" w:rsidP="0040413A" w:rsidRDefault="00AC5CEE" w14:paraId="0EE6097B" w14:textId="7E29A16E">
            <w:pPr>
              <w:jc w:val="both"/>
              <w:rPr>
                <w:rFonts w:ascii="Times New Roman" w:hAnsi="Times New Roman" w:cs="Times New Roman"/>
                <w:sz w:val="24"/>
                <w:szCs w:val="24"/>
              </w:rPr>
            </w:pPr>
            <w:r w:rsidRPr="0040413A">
              <w:rPr>
                <w:rFonts w:ascii="Times New Roman" w:hAnsi="Times New Roman" w:cs="Times New Roman"/>
                <w:sz w:val="24"/>
                <w:szCs w:val="24"/>
              </w:rPr>
              <w:t xml:space="preserve">Vähene finantsvõimekus ei luba olulisi kõrvalekaldeid planeeritud eelarvest ega ettenägematuid kulusid. Riskide realiseerumisel on oluliselt häiritud ettevõtte tavapärane majandustegevus. </w:t>
            </w:r>
          </w:p>
          <w:p w:rsidRPr="0040413A" w:rsidR="002D1346" w:rsidP="0040413A" w:rsidRDefault="002D1346" w14:paraId="0530CA9A" w14:textId="57F59F3A">
            <w:pPr>
              <w:jc w:val="both"/>
              <w:rPr>
                <w:rFonts w:ascii="Times New Roman" w:hAnsi="Times New Roman" w:cs="Times New Roman"/>
                <w:sz w:val="24"/>
                <w:szCs w:val="24"/>
              </w:rPr>
            </w:pPr>
          </w:p>
        </w:tc>
        <w:tc>
          <w:tcPr>
            <w:tcW w:w="1314" w:type="dxa"/>
            <w:vMerge/>
            <w:tcMar/>
            <w:hideMark/>
          </w:tcPr>
          <w:p w:rsidRPr="0040413A" w:rsidR="00AC5CEE" w:rsidP="0040413A" w:rsidRDefault="00AC5CEE" w14:paraId="0530CA9B" w14:textId="77777777">
            <w:pPr>
              <w:jc w:val="both"/>
              <w:rPr>
                <w:rFonts w:ascii="Times New Roman" w:hAnsi="Times New Roman" w:cs="Times New Roman"/>
                <w:sz w:val="24"/>
                <w:szCs w:val="24"/>
              </w:rPr>
            </w:pPr>
          </w:p>
        </w:tc>
      </w:tr>
      <w:tr w:rsidRPr="0040413A" w:rsidR="00AE6B7C" w:rsidTr="41CC11D6" w14:paraId="238E50F8" w14:textId="77777777">
        <w:trPr>
          <w:trHeight w:val="600"/>
        </w:trPr>
        <w:tc>
          <w:tcPr>
            <w:tcW w:w="658" w:type="dxa"/>
            <w:shd w:val="clear" w:color="auto" w:fill="CCFFCC"/>
            <w:noWrap/>
            <w:tcMar/>
          </w:tcPr>
          <w:p w:rsidRPr="00A15006" w:rsidR="00AE6B7C" w:rsidP="0040413A" w:rsidRDefault="00153D11" w14:paraId="76AA9844" w14:textId="3912933C">
            <w:pPr>
              <w:jc w:val="both"/>
              <w:rPr>
                <w:rFonts w:ascii="Times New Roman" w:hAnsi="Times New Roman" w:cs="Times New Roman"/>
                <w:b/>
                <w:bCs/>
                <w:sz w:val="24"/>
                <w:szCs w:val="24"/>
              </w:rPr>
            </w:pPr>
            <w:r w:rsidRPr="00A15006">
              <w:rPr>
                <w:rFonts w:ascii="Times New Roman" w:hAnsi="Times New Roman" w:cs="Times New Roman"/>
                <w:b/>
                <w:bCs/>
                <w:sz w:val="24"/>
                <w:szCs w:val="24"/>
              </w:rPr>
              <w:t>2.2</w:t>
            </w:r>
          </w:p>
        </w:tc>
        <w:tc>
          <w:tcPr>
            <w:tcW w:w="7668" w:type="dxa"/>
            <w:shd w:val="clear" w:color="auto" w:fill="CCFFCC"/>
            <w:tcMar/>
          </w:tcPr>
          <w:p w:rsidRPr="00A15006" w:rsidR="00AE6B7C" w:rsidP="0040413A" w:rsidRDefault="00153D11" w14:paraId="09A05D42" w14:textId="28FC05F4">
            <w:pPr>
              <w:jc w:val="both"/>
              <w:rPr>
                <w:rFonts w:ascii="Times New Roman" w:hAnsi="Times New Roman" w:cs="Times New Roman"/>
                <w:b/>
                <w:bCs/>
                <w:sz w:val="24"/>
                <w:szCs w:val="24"/>
              </w:rPr>
            </w:pPr>
            <w:r w:rsidRPr="00A15006">
              <w:rPr>
                <w:rFonts w:ascii="Times New Roman" w:hAnsi="Times New Roman" w:cs="Times New Roman"/>
                <w:b/>
                <w:bCs/>
                <w:sz w:val="24"/>
                <w:szCs w:val="24"/>
              </w:rPr>
              <w:t>Taotleja meeskonna võimekus</w:t>
            </w:r>
          </w:p>
        </w:tc>
        <w:tc>
          <w:tcPr>
            <w:tcW w:w="1314" w:type="dxa"/>
            <w:shd w:val="clear" w:color="auto" w:fill="CCFFCC"/>
            <w:tcMar/>
          </w:tcPr>
          <w:p w:rsidRPr="0040413A" w:rsidR="00AE6B7C" w:rsidP="0040413A" w:rsidRDefault="00A15006" w14:paraId="68266219" w14:textId="075CB30C">
            <w:pPr>
              <w:jc w:val="both"/>
              <w:rPr>
                <w:rFonts w:ascii="Times New Roman" w:hAnsi="Times New Roman" w:cs="Times New Roman"/>
                <w:sz w:val="24"/>
                <w:szCs w:val="24"/>
              </w:rPr>
            </w:pPr>
            <w:r>
              <w:rPr>
                <w:rFonts w:ascii="Times New Roman" w:hAnsi="Times New Roman" w:cs="Times New Roman"/>
                <w:sz w:val="24"/>
                <w:szCs w:val="24"/>
              </w:rPr>
              <w:t>50%</w:t>
            </w:r>
          </w:p>
        </w:tc>
      </w:tr>
      <w:tr w:rsidRPr="0040413A" w:rsidR="00AE6B7C" w:rsidTr="41CC11D6" w14:paraId="12E541FB" w14:textId="77777777">
        <w:trPr>
          <w:trHeight w:val="600"/>
        </w:trPr>
        <w:tc>
          <w:tcPr>
            <w:tcW w:w="658" w:type="dxa"/>
            <w:noWrap/>
            <w:tcMar/>
          </w:tcPr>
          <w:p w:rsidRPr="0040413A" w:rsidR="00AE6B7C" w:rsidP="0040413A" w:rsidRDefault="00A15006" w14:paraId="4FD3BE40" w14:textId="422BF210">
            <w:pPr>
              <w:jc w:val="both"/>
              <w:rPr>
                <w:rFonts w:ascii="Times New Roman" w:hAnsi="Times New Roman" w:cs="Times New Roman"/>
                <w:sz w:val="24"/>
                <w:szCs w:val="24"/>
              </w:rPr>
            </w:pPr>
            <w:r>
              <w:rPr>
                <w:rFonts w:ascii="Times New Roman" w:hAnsi="Times New Roman" w:cs="Times New Roman"/>
                <w:sz w:val="24"/>
                <w:szCs w:val="24"/>
              </w:rPr>
              <w:t>4</w:t>
            </w:r>
          </w:p>
        </w:tc>
        <w:tc>
          <w:tcPr>
            <w:tcW w:w="7668" w:type="dxa"/>
            <w:tcMar/>
          </w:tcPr>
          <w:p w:rsidRPr="0040413A" w:rsidR="00AE6B7C" w:rsidP="0040413A" w:rsidRDefault="00AE6B7C" w14:paraId="09366F86" w14:textId="5A2CB1BA">
            <w:pPr>
              <w:jc w:val="both"/>
              <w:rPr>
                <w:rFonts w:ascii="Times New Roman" w:hAnsi="Times New Roman" w:cs="Times New Roman"/>
                <w:sz w:val="24"/>
                <w:szCs w:val="24"/>
              </w:rPr>
            </w:pPr>
            <w:r>
              <w:rPr>
                <w:rFonts w:ascii="Times New Roman" w:hAnsi="Times New Roman" w:cs="Times New Roman"/>
                <w:sz w:val="24"/>
                <w:szCs w:val="24"/>
              </w:rPr>
              <w:t xml:space="preserve">Taotleja meeskond on </w:t>
            </w:r>
            <w:r w:rsidRPr="00E66F5D">
              <w:rPr>
                <w:rFonts w:ascii="Times New Roman" w:hAnsi="Times New Roman" w:cs="Times New Roman"/>
                <w:sz w:val="24"/>
                <w:szCs w:val="24"/>
              </w:rPr>
              <w:t>komplekteeritud kompetentsete isikutega (projektimeeskonnal on olemas teadmised ja varasem kogemus). Meeskonna liikmed ja rollid on läbimõeldud, liikmete kompetentsid toetavad projekti elluviimist.</w:t>
            </w:r>
            <w:r>
              <w:rPr>
                <w:rFonts w:ascii="Times New Roman" w:hAnsi="Times New Roman" w:cs="Times New Roman"/>
                <w:sz w:val="24"/>
                <w:szCs w:val="24"/>
              </w:rPr>
              <w:t xml:space="preserve"> </w:t>
            </w:r>
            <w:r w:rsidRPr="00A73021">
              <w:rPr>
                <w:rFonts w:ascii="Times New Roman" w:hAnsi="Times New Roman" w:cs="Times New Roman"/>
                <w:sz w:val="24"/>
                <w:szCs w:val="24"/>
              </w:rPr>
              <w:t>Olemas varasem mitmete sarnaste projektide juhtimise kogemus.</w:t>
            </w:r>
          </w:p>
        </w:tc>
        <w:tc>
          <w:tcPr>
            <w:tcW w:w="1314" w:type="dxa"/>
            <w:tcMar/>
          </w:tcPr>
          <w:p w:rsidRPr="0040413A" w:rsidR="00AE6B7C" w:rsidP="0040413A" w:rsidRDefault="00AE6B7C" w14:paraId="08612C18" w14:textId="77777777">
            <w:pPr>
              <w:jc w:val="both"/>
              <w:rPr>
                <w:rFonts w:ascii="Times New Roman" w:hAnsi="Times New Roman" w:cs="Times New Roman"/>
                <w:sz w:val="24"/>
                <w:szCs w:val="24"/>
              </w:rPr>
            </w:pPr>
          </w:p>
        </w:tc>
      </w:tr>
      <w:tr w:rsidRPr="0040413A" w:rsidR="00AE6B7C" w:rsidTr="41CC11D6" w14:paraId="63A5408A" w14:textId="77777777">
        <w:trPr>
          <w:trHeight w:val="408"/>
        </w:trPr>
        <w:tc>
          <w:tcPr>
            <w:tcW w:w="658" w:type="dxa"/>
            <w:noWrap/>
            <w:tcMar/>
          </w:tcPr>
          <w:p w:rsidRPr="0040413A" w:rsidR="00AE6B7C" w:rsidP="0040413A" w:rsidRDefault="00A15006" w14:paraId="450109B7" w14:textId="2AF2162C">
            <w:pPr>
              <w:jc w:val="both"/>
              <w:rPr>
                <w:rFonts w:ascii="Times New Roman" w:hAnsi="Times New Roman" w:cs="Times New Roman"/>
                <w:sz w:val="24"/>
                <w:szCs w:val="24"/>
              </w:rPr>
            </w:pPr>
            <w:r>
              <w:rPr>
                <w:rFonts w:ascii="Times New Roman" w:hAnsi="Times New Roman" w:cs="Times New Roman"/>
                <w:sz w:val="24"/>
                <w:szCs w:val="24"/>
              </w:rPr>
              <w:t>3</w:t>
            </w:r>
          </w:p>
        </w:tc>
        <w:tc>
          <w:tcPr>
            <w:tcW w:w="7668" w:type="dxa"/>
            <w:tcMar/>
          </w:tcPr>
          <w:p w:rsidRPr="0040413A" w:rsidR="00AE6B7C" w:rsidP="0040413A" w:rsidRDefault="00AE6B7C" w14:paraId="53DE78F1" w14:textId="7D33C7C5">
            <w:pPr>
              <w:jc w:val="both"/>
              <w:rPr>
                <w:rFonts w:ascii="Times New Roman" w:hAnsi="Times New Roman" w:cs="Times New Roman"/>
                <w:sz w:val="24"/>
                <w:szCs w:val="24"/>
              </w:rPr>
            </w:pPr>
            <w:r w:rsidRPr="0040413A">
              <w:rPr>
                <w:rFonts w:ascii="Times New Roman" w:hAnsi="Times New Roman" w:cs="Times New Roman"/>
                <w:sz w:val="24"/>
                <w:szCs w:val="24"/>
              </w:rPr>
              <w:t>Vahepealne hinnang</w:t>
            </w:r>
          </w:p>
        </w:tc>
        <w:tc>
          <w:tcPr>
            <w:tcW w:w="1314" w:type="dxa"/>
            <w:tcMar/>
          </w:tcPr>
          <w:p w:rsidRPr="0040413A" w:rsidR="00AE6B7C" w:rsidP="0040413A" w:rsidRDefault="00AE6B7C" w14:paraId="18D2A233" w14:textId="77777777">
            <w:pPr>
              <w:jc w:val="both"/>
              <w:rPr>
                <w:rFonts w:ascii="Times New Roman" w:hAnsi="Times New Roman" w:cs="Times New Roman"/>
                <w:sz w:val="24"/>
                <w:szCs w:val="24"/>
              </w:rPr>
            </w:pPr>
          </w:p>
        </w:tc>
      </w:tr>
      <w:tr w:rsidRPr="0040413A" w:rsidR="00AE6B7C" w:rsidTr="41CC11D6" w14:paraId="12C86DCE" w14:textId="77777777">
        <w:trPr>
          <w:trHeight w:val="1265"/>
        </w:trPr>
        <w:tc>
          <w:tcPr>
            <w:tcW w:w="658" w:type="dxa"/>
            <w:noWrap/>
            <w:tcMar/>
          </w:tcPr>
          <w:p w:rsidRPr="0040413A" w:rsidR="00AE6B7C" w:rsidP="0040413A" w:rsidRDefault="00A15006" w14:paraId="22977472" w14:textId="24495EF7">
            <w:pPr>
              <w:jc w:val="both"/>
              <w:rPr>
                <w:rFonts w:ascii="Times New Roman" w:hAnsi="Times New Roman" w:cs="Times New Roman"/>
                <w:sz w:val="24"/>
                <w:szCs w:val="24"/>
              </w:rPr>
            </w:pPr>
            <w:r>
              <w:rPr>
                <w:rFonts w:ascii="Times New Roman" w:hAnsi="Times New Roman" w:cs="Times New Roman"/>
                <w:sz w:val="24"/>
                <w:szCs w:val="24"/>
              </w:rPr>
              <w:t>2</w:t>
            </w:r>
          </w:p>
        </w:tc>
        <w:tc>
          <w:tcPr>
            <w:tcW w:w="7668" w:type="dxa"/>
            <w:tcMar/>
          </w:tcPr>
          <w:p w:rsidR="00AE6B7C" w:rsidP="00AE6B7C" w:rsidRDefault="00AE6B7C" w14:paraId="5D3835F1" w14:textId="77777777">
            <w:pPr>
              <w:jc w:val="both"/>
              <w:rPr>
                <w:rFonts w:ascii="Times New Roman" w:hAnsi="Times New Roman" w:cs="Times New Roman"/>
                <w:sz w:val="24"/>
                <w:szCs w:val="24"/>
              </w:rPr>
            </w:pPr>
            <w:r w:rsidRPr="00BD5F97">
              <w:rPr>
                <w:rFonts w:ascii="Times New Roman" w:hAnsi="Times New Roman" w:cs="Times New Roman"/>
                <w:sz w:val="24"/>
                <w:szCs w:val="24"/>
              </w:rPr>
              <w:t>Meeskonna kompetents on projekti elluviimiseks piisav (projektimeeskonnal on osaliselt olemas teadmised ja varasem kogemus). Meeskonna kogemused näitavad rahuldavat võimekust tulemuste rakendamiseks. Meeskonnaliikmetel on analoogsete ülesannete või projektide täitmise kogemus vähene.</w:t>
            </w:r>
          </w:p>
          <w:p w:rsidRPr="0040413A" w:rsidR="00AE6B7C" w:rsidP="0040413A" w:rsidRDefault="00AE6B7C" w14:paraId="275AFC07" w14:textId="77777777">
            <w:pPr>
              <w:jc w:val="both"/>
              <w:rPr>
                <w:rFonts w:ascii="Times New Roman" w:hAnsi="Times New Roman" w:cs="Times New Roman"/>
                <w:sz w:val="24"/>
                <w:szCs w:val="24"/>
              </w:rPr>
            </w:pPr>
          </w:p>
        </w:tc>
        <w:tc>
          <w:tcPr>
            <w:tcW w:w="1314" w:type="dxa"/>
            <w:tcMar/>
          </w:tcPr>
          <w:p w:rsidRPr="0040413A" w:rsidR="00AE6B7C" w:rsidP="0040413A" w:rsidRDefault="00AE6B7C" w14:paraId="68835E60" w14:textId="77777777">
            <w:pPr>
              <w:jc w:val="both"/>
              <w:rPr>
                <w:rFonts w:ascii="Times New Roman" w:hAnsi="Times New Roman" w:cs="Times New Roman"/>
                <w:sz w:val="24"/>
                <w:szCs w:val="24"/>
              </w:rPr>
            </w:pPr>
          </w:p>
        </w:tc>
      </w:tr>
      <w:tr w:rsidRPr="0040413A" w:rsidR="00AE6B7C" w:rsidTr="41CC11D6" w14:paraId="38F7B710" w14:textId="77777777">
        <w:trPr>
          <w:trHeight w:val="394"/>
        </w:trPr>
        <w:tc>
          <w:tcPr>
            <w:tcW w:w="658" w:type="dxa"/>
            <w:noWrap/>
            <w:tcMar/>
          </w:tcPr>
          <w:p w:rsidRPr="0040413A" w:rsidR="00AE6B7C" w:rsidP="0040413A" w:rsidRDefault="00A15006" w14:paraId="59B58B2F" w14:textId="2DCD006D">
            <w:pPr>
              <w:jc w:val="both"/>
              <w:rPr>
                <w:rFonts w:ascii="Times New Roman" w:hAnsi="Times New Roman" w:cs="Times New Roman"/>
                <w:sz w:val="24"/>
                <w:szCs w:val="24"/>
              </w:rPr>
            </w:pPr>
            <w:r>
              <w:rPr>
                <w:rFonts w:ascii="Times New Roman" w:hAnsi="Times New Roman" w:cs="Times New Roman"/>
                <w:sz w:val="24"/>
                <w:szCs w:val="24"/>
              </w:rPr>
              <w:t>1</w:t>
            </w:r>
          </w:p>
        </w:tc>
        <w:tc>
          <w:tcPr>
            <w:tcW w:w="7668" w:type="dxa"/>
            <w:tcMar/>
          </w:tcPr>
          <w:p w:rsidRPr="00BD5F97" w:rsidR="00AE6B7C" w:rsidP="00AE6B7C" w:rsidRDefault="00AE6B7C" w14:paraId="24A97779" w14:textId="66B2A543">
            <w:pPr>
              <w:jc w:val="both"/>
              <w:rPr>
                <w:rFonts w:ascii="Times New Roman" w:hAnsi="Times New Roman" w:cs="Times New Roman"/>
                <w:sz w:val="24"/>
                <w:szCs w:val="24"/>
              </w:rPr>
            </w:pPr>
            <w:r w:rsidRPr="0040413A">
              <w:rPr>
                <w:rFonts w:ascii="Times New Roman" w:hAnsi="Times New Roman" w:cs="Times New Roman"/>
                <w:sz w:val="24"/>
                <w:szCs w:val="24"/>
              </w:rPr>
              <w:t>Vahepealne hinnang</w:t>
            </w:r>
          </w:p>
        </w:tc>
        <w:tc>
          <w:tcPr>
            <w:tcW w:w="1314" w:type="dxa"/>
            <w:tcMar/>
          </w:tcPr>
          <w:p w:rsidRPr="0040413A" w:rsidR="00AE6B7C" w:rsidP="0040413A" w:rsidRDefault="00AE6B7C" w14:paraId="145917EE" w14:textId="77777777">
            <w:pPr>
              <w:jc w:val="both"/>
              <w:rPr>
                <w:rFonts w:ascii="Times New Roman" w:hAnsi="Times New Roman" w:cs="Times New Roman"/>
                <w:sz w:val="24"/>
                <w:szCs w:val="24"/>
              </w:rPr>
            </w:pPr>
          </w:p>
        </w:tc>
      </w:tr>
      <w:tr w:rsidRPr="0040413A" w:rsidR="00AE6B7C" w:rsidTr="41CC11D6" w14:paraId="6349593C" w14:textId="77777777">
        <w:trPr>
          <w:trHeight w:val="600"/>
        </w:trPr>
        <w:tc>
          <w:tcPr>
            <w:tcW w:w="658" w:type="dxa"/>
            <w:noWrap/>
            <w:tcMar/>
          </w:tcPr>
          <w:p w:rsidRPr="0040413A" w:rsidR="00AE6B7C" w:rsidP="0040413A" w:rsidRDefault="00A15006" w14:paraId="679F3BCB" w14:textId="2C960F25">
            <w:pPr>
              <w:jc w:val="both"/>
              <w:rPr>
                <w:rFonts w:ascii="Times New Roman" w:hAnsi="Times New Roman" w:cs="Times New Roman"/>
                <w:sz w:val="24"/>
                <w:szCs w:val="24"/>
              </w:rPr>
            </w:pPr>
            <w:r>
              <w:rPr>
                <w:rFonts w:ascii="Times New Roman" w:hAnsi="Times New Roman" w:cs="Times New Roman"/>
                <w:sz w:val="24"/>
                <w:szCs w:val="24"/>
              </w:rPr>
              <w:t>0</w:t>
            </w:r>
          </w:p>
        </w:tc>
        <w:tc>
          <w:tcPr>
            <w:tcW w:w="7668" w:type="dxa"/>
            <w:tcMar/>
          </w:tcPr>
          <w:p w:rsidRPr="0040413A" w:rsidR="00AE6B7C" w:rsidP="00AE6B7C" w:rsidRDefault="00AE6B7C" w14:paraId="62C5C8BD" w14:textId="2E7ED581">
            <w:pPr>
              <w:jc w:val="both"/>
              <w:rPr>
                <w:rFonts w:ascii="Times New Roman" w:hAnsi="Times New Roman" w:cs="Times New Roman"/>
                <w:sz w:val="24"/>
                <w:szCs w:val="24"/>
              </w:rPr>
            </w:pPr>
            <w:r w:rsidRPr="00E408F9">
              <w:rPr>
                <w:rFonts w:ascii="Times New Roman" w:hAnsi="Times New Roman" w:cs="Times New Roman"/>
                <w:sz w:val="24"/>
                <w:szCs w:val="24"/>
              </w:rPr>
              <w:t>Projekti meeskonna kompetents on vähene (projektimeeskonnal ei ole varasemat kogemust ja teadmisi) ja see ei toeta projektis püstitatud eesmärkide saavutamist. Meeskonnaliikmetel puudub analoogsete ülesannete või projektide täitmise kogemus.</w:t>
            </w:r>
          </w:p>
        </w:tc>
        <w:tc>
          <w:tcPr>
            <w:tcW w:w="1314" w:type="dxa"/>
            <w:tcMar/>
          </w:tcPr>
          <w:p w:rsidRPr="0040413A" w:rsidR="00AE6B7C" w:rsidP="0040413A" w:rsidRDefault="00AE6B7C" w14:paraId="58B2ED60" w14:textId="77777777">
            <w:pPr>
              <w:jc w:val="both"/>
              <w:rPr>
                <w:rFonts w:ascii="Times New Roman" w:hAnsi="Times New Roman" w:cs="Times New Roman"/>
                <w:sz w:val="24"/>
                <w:szCs w:val="24"/>
              </w:rPr>
            </w:pPr>
          </w:p>
        </w:tc>
      </w:tr>
      <w:tr w:rsidRPr="0040413A" w:rsidR="00AC5CEE" w:rsidTr="41CC11D6" w14:paraId="0530CA9F" w14:textId="77777777">
        <w:trPr>
          <w:trHeight w:val="499"/>
        </w:trPr>
        <w:tc>
          <w:tcPr>
            <w:tcW w:w="8326" w:type="dxa"/>
            <w:gridSpan w:val="2"/>
            <w:shd w:val="clear" w:color="auto" w:fill="CCFFCC"/>
            <w:tcMar/>
            <w:hideMark/>
          </w:tcPr>
          <w:p w:rsidRPr="007072C0" w:rsidR="007072C0" w:rsidP="007072C0" w:rsidRDefault="00AC5CEE" w14:paraId="0530CA9D" w14:textId="4BC51D04">
            <w:pPr>
              <w:pStyle w:val="ListParagraph"/>
              <w:numPr>
                <w:ilvl w:val="0"/>
                <w:numId w:val="12"/>
              </w:numPr>
              <w:jc w:val="both"/>
              <w:rPr>
                <w:rFonts w:ascii="Times New Roman" w:hAnsi="Times New Roman" w:cs="Times New Roman"/>
                <w:b/>
                <w:bCs/>
                <w:sz w:val="24"/>
                <w:szCs w:val="24"/>
              </w:rPr>
            </w:pPr>
            <w:r w:rsidRPr="007072C0">
              <w:rPr>
                <w:rFonts w:ascii="Times New Roman" w:hAnsi="Times New Roman" w:cs="Times New Roman"/>
                <w:b/>
                <w:bCs/>
                <w:sz w:val="24"/>
                <w:szCs w:val="24"/>
              </w:rPr>
              <w:t>Projekti kvaliteet</w:t>
            </w:r>
            <w:r w:rsidR="007072C0">
              <w:rPr>
                <w:rFonts w:ascii="Times New Roman" w:hAnsi="Times New Roman" w:cs="Times New Roman"/>
                <w:b/>
                <w:bCs/>
                <w:sz w:val="24"/>
                <w:szCs w:val="24"/>
              </w:rPr>
              <w:t xml:space="preserve"> - </w:t>
            </w:r>
            <w:r w:rsidRPr="007072C0" w:rsidR="007072C0">
              <w:rPr>
                <w:rFonts w:ascii="Times New Roman" w:hAnsi="Times New Roman" w:cs="Times New Roman"/>
                <w:b/>
                <w:bCs/>
                <w:sz w:val="24"/>
                <w:szCs w:val="24"/>
              </w:rPr>
              <w:t>projekti tegevuste põhjendatus ja kuluefektiivsus</w:t>
            </w:r>
          </w:p>
        </w:tc>
        <w:tc>
          <w:tcPr>
            <w:tcW w:w="1314" w:type="dxa"/>
            <w:shd w:val="clear" w:color="auto" w:fill="CCFFCC"/>
            <w:noWrap/>
            <w:tcMar/>
            <w:hideMark/>
          </w:tcPr>
          <w:p w:rsidRPr="0040413A" w:rsidR="00AC5CEE" w:rsidP="0040413A" w:rsidRDefault="00D2686D" w14:paraId="0530CA9E" w14:textId="6D288A87">
            <w:pPr>
              <w:jc w:val="both"/>
              <w:rPr>
                <w:rFonts w:ascii="Times New Roman" w:hAnsi="Times New Roman" w:cs="Times New Roman"/>
                <w:i/>
                <w:iCs/>
                <w:sz w:val="24"/>
                <w:szCs w:val="24"/>
              </w:rPr>
            </w:pPr>
            <w:r>
              <w:rPr>
                <w:rFonts w:ascii="Times New Roman" w:hAnsi="Times New Roman" w:cs="Times New Roman"/>
                <w:i/>
                <w:iCs/>
                <w:sz w:val="24"/>
                <w:szCs w:val="24"/>
              </w:rPr>
              <w:t>3</w:t>
            </w:r>
            <w:r w:rsidRPr="0040413A">
              <w:rPr>
                <w:rFonts w:ascii="Times New Roman" w:hAnsi="Times New Roman" w:cs="Times New Roman"/>
                <w:i/>
                <w:iCs/>
                <w:sz w:val="24"/>
                <w:szCs w:val="24"/>
              </w:rPr>
              <w:t>0</w:t>
            </w:r>
            <w:r w:rsidRPr="0040413A" w:rsidR="00AC5CEE">
              <w:rPr>
                <w:rFonts w:ascii="Times New Roman" w:hAnsi="Times New Roman" w:cs="Times New Roman"/>
                <w:i/>
                <w:iCs/>
                <w:sz w:val="24"/>
                <w:szCs w:val="24"/>
              </w:rPr>
              <w:t>%</w:t>
            </w:r>
          </w:p>
        </w:tc>
      </w:tr>
      <w:tr w:rsidRPr="0040413A" w:rsidR="00AC5CEE" w:rsidTr="41CC11D6" w14:paraId="0530CAA2" w14:textId="77777777">
        <w:trPr>
          <w:trHeight w:val="660"/>
        </w:trPr>
        <w:tc>
          <w:tcPr>
            <w:tcW w:w="8326" w:type="dxa"/>
            <w:gridSpan w:val="2"/>
            <w:tcMar/>
            <w:hideMark/>
          </w:tcPr>
          <w:p w:rsidRPr="0040413A" w:rsidR="00AC5CEE" w:rsidP="0040413A" w:rsidRDefault="007072C0" w14:paraId="0530CAA0" w14:textId="65838663">
            <w:pPr>
              <w:jc w:val="both"/>
              <w:rPr>
                <w:rFonts w:ascii="Times New Roman" w:hAnsi="Times New Roman" w:cs="Times New Roman"/>
                <w:sz w:val="24"/>
                <w:szCs w:val="24"/>
              </w:rPr>
            </w:pPr>
            <w:r>
              <w:rPr>
                <w:rFonts w:ascii="Times New Roman" w:hAnsi="Times New Roman" w:cs="Times New Roman"/>
                <w:sz w:val="24"/>
                <w:szCs w:val="24"/>
              </w:rPr>
              <w:t>H</w:t>
            </w:r>
            <w:r w:rsidRPr="007072C0">
              <w:rPr>
                <w:rFonts w:ascii="Times New Roman" w:hAnsi="Times New Roman" w:cs="Times New Roman"/>
                <w:sz w:val="24"/>
                <w:szCs w:val="24"/>
              </w:rPr>
              <w:t>innatakse projekti realistlikkust ning seda, kas ettenähtud tegevused ja lahendused on projekti väljund- ja tulemusnäitajate saavutamiseks piisavalt kuluefektiivsed</w:t>
            </w:r>
            <w:r w:rsidR="00D908B6">
              <w:rPr>
                <w:rFonts w:ascii="Times New Roman" w:hAnsi="Times New Roman" w:cs="Times New Roman"/>
                <w:sz w:val="24"/>
                <w:szCs w:val="24"/>
              </w:rPr>
              <w:t xml:space="preserve"> </w:t>
            </w:r>
            <w:r w:rsidRPr="0040413A" w:rsidR="00AC5CEE">
              <w:rPr>
                <w:rFonts w:ascii="Times New Roman" w:hAnsi="Times New Roman" w:cs="Times New Roman"/>
                <w:sz w:val="24"/>
                <w:szCs w:val="24"/>
              </w:rPr>
              <w:t xml:space="preserve">– osakaal </w:t>
            </w:r>
            <w:r w:rsidR="00D2686D">
              <w:rPr>
                <w:rFonts w:ascii="Times New Roman" w:hAnsi="Times New Roman" w:cs="Times New Roman"/>
                <w:sz w:val="24"/>
                <w:szCs w:val="24"/>
              </w:rPr>
              <w:t>3</w:t>
            </w:r>
            <w:r w:rsidRPr="0040413A" w:rsidR="00D2686D">
              <w:rPr>
                <w:rFonts w:ascii="Times New Roman" w:hAnsi="Times New Roman" w:cs="Times New Roman"/>
                <w:sz w:val="24"/>
                <w:szCs w:val="24"/>
              </w:rPr>
              <w:t xml:space="preserve">0 </w:t>
            </w:r>
            <w:r w:rsidRPr="0040413A" w:rsidR="00AC5CEE">
              <w:rPr>
                <w:rFonts w:ascii="Times New Roman" w:hAnsi="Times New Roman" w:cs="Times New Roman"/>
                <w:sz w:val="24"/>
                <w:szCs w:val="24"/>
              </w:rPr>
              <w:t>protsendipunkti koondhindes;</w:t>
            </w:r>
          </w:p>
        </w:tc>
        <w:tc>
          <w:tcPr>
            <w:tcW w:w="1314" w:type="dxa"/>
            <w:tcMar/>
            <w:hideMark/>
          </w:tcPr>
          <w:p w:rsidRPr="0040413A" w:rsidR="00AC5CEE" w:rsidP="0040413A" w:rsidRDefault="00AC5CEE" w14:paraId="0530CAA1" w14:textId="7E0C2511">
            <w:pPr>
              <w:jc w:val="both"/>
              <w:rPr>
                <w:rFonts w:ascii="Times New Roman" w:hAnsi="Times New Roman" w:cs="Times New Roman"/>
                <w:b/>
                <w:bCs/>
                <w:sz w:val="24"/>
                <w:szCs w:val="24"/>
              </w:rPr>
            </w:pPr>
            <w:r w:rsidRPr="0040413A">
              <w:rPr>
                <w:rFonts w:ascii="Times New Roman" w:hAnsi="Times New Roman" w:cs="Times New Roman"/>
                <w:b/>
                <w:bCs/>
                <w:sz w:val="24"/>
                <w:szCs w:val="24"/>
              </w:rPr>
              <w:t> </w:t>
            </w:r>
          </w:p>
        </w:tc>
      </w:tr>
      <w:tr w:rsidRPr="0040413A" w:rsidR="00AC5CEE" w:rsidTr="41CC11D6" w14:paraId="0530CAA6" w14:textId="77777777">
        <w:trPr>
          <w:trHeight w:val="600"/>
        </w:trPr>
        <w:tc>
          <w:tcPr>
            <w:tcW w:w="658" w:type="dxa"/>
            <w:tcMar/>
            <w:hideMark/>
          </w:tcPr>
          <w:p w:rsidRPr="0040413A" w:rsidR="00AC5CEE" w:rsidP="0040413A" w:rsidRDefault="00AC5CEE" w14:paraId="0530CAA3" w14:textId="32F6FA88">
            <w:pPr>
              <w:jc w:val="both"/>
              <w:rPr>
                <w:rFonts w:ascii="Times New Roman" w:hAnsi="Times New Roman" w:cs="Times New Roman"/>
                <w:sz w:val="24"/>
                <w:szCs w:val="24"/>
              </w:rPr>
            </w:pPr>
            <w:r w:rsidRPr="0040413A">
              <w:rPr>
                <w:rFonts w:ascii="Times New Roman" w:hAnsi="Times New Roman" w:cs="Times New Roman"/>
                <w:sz w:val="24"/>
                <w:szCs w:val="24"/>
              </w:rPr>
              <w:t>4</w:t>
            </w:r>
          </w:p>
        </w:tc>
        <w:tc>
          <w:tcPr>
            <w:tcW w:w="7668" w:type="dxa"/>
            <w:tcMar/>
            <w:hideMark/>
          </w:tcPr>
          <w:p w:rsidRPr="0040413A" w:rsidR="00AC5CEE" w:rsidP="0040413A" w:rsidRDefault="0036620D" w14:paraId="0530CAA4" w14:textId="5BFCC286">
            <w:pPr>
              <w:jc w:val="both"/>
              <w:rPr>
                <w:rFonts w:ascii="Times New Roman" w:hAnsi="Times New Roman" w:cs="Times New Roman"/>
                <w:sz w:val="24"/>
                <w:szCs w:val="24"/>
              </w:rPr>
            </w:pPr>
            <w:r>
              <w:rPr>
                <w:rFonts w:ascii="Times New Roman" w:hAnsi="Times New Roman" w:cs="Times New Roman"/>
                <w:sz w:val="24"/>
                <w:szCs w:val="24"/>
              </w:rPr>
              <w:t>Eelkaardistuse ja projektiplaani</w:t>
            </w:r>
            <w:r w:rsidRPr="0040413A" w:rsidR="00AC5CEE">
              <w:rPr>
                <w:rFonts w:ascii="Times New Roman" w:hAnsi="Times New Roman" w:cs="Times New Roman"/>
                <w:sz w:val="24"/>
                <w:szCs w:val="24"/>
              </w:rPr>
              <w:t xml:space="preserve"> põhised tegevused on loogilised ja terviklikud. Projekti eesmärgid on selgelt kirjeldatud ning neid on võimalik hinnata. Projekt on jagatud loogilisteks etappideks, mis võimaldavad vajadusel teha vajalikke muudatusi projekti eesmärkide saavutamiseks. Ajakava on loogiline, selles on arvestatud piisav varu ettenägematute viivituste tarbeks. Projekti </w:t>
            </w:r>
            <w:r w:rsidRPr="0040413A" w:rsidR="00AC5CEE">
              <w:rPr>
                <w:rFonts w:ascii="Times New Roman" w:hAnsi="Times New Roman" w:cs="Times New Roman"/>
                <w:sz w:val="24"/>
                <w:szCs w:val="24"/>
              </w:rPr>
              <w:lastRenderedPageBreak/>
              <w:t>eelarve on koostatud detailselt</w:t>
            </w:r>
            <w:r w:rsidR="00D2686D">
              <w:rPr>
                <w:rFonts w:ascii="Times New Roman" w:hAnsi="Times New Roman" w:cs="Times New Roman"/>
                <w:sz w:val="24"/>
                <w:szCs w:val="24"/>
              </w:rPr>
              <w:t xml:space="preserve">, </w:t>
            </w:r>
            <w:r w:rsidRPr="0040413A" w:rsidR="00AC5CEE">
              <w:rPr>
                <w:rFonts w:ascii="Times New Roman" w:hAnsi="Times New Roman" w:cs="Times New Roman"/>
                <w:sz w:val="24"/>
                <w:szCs w:val="24"/>
              </w:rPr>
              <w:t>läbipaistvalt</w:t>
            </w:r>
            <w:r w:rsidR="00D2686D">
              <w:rPr>
                <w:rFonts w:ascii="Times New Roman" w:hAnsi="Times New Roman" w:cs="Times New Roman"/>
                <w:sz w:val="24"/>
                <w:szCs w:val="24"/>
              </w:rPr>
              <w:t xml:space="preserve"> ja kuluefektiivselt</w:t>
            </w:r>
            <w:r w:rsidRPr="0040413A" w:rsidR="00AC5CEE">
              <w:rPr>
                <w:rFonts w:ascii="Times New Roman" w:hAnsi="Times New Roman" w:cs="Times New Roman"/>
                <w:sz w:val="24"/>
                <w:szCs w:val="24"/>
              </w:rPr>
              <w:t xml:space="preserve"> ning kulud toetavad selgelt projekti elluviimist.</w:t>
            </w:r>
          </w:p>
        </w:tc>
        <w:tc>
          <w:tcPr>
            <w:tcW w:w="1314" w:type="dxa"/>
            <w:vMerge w:val="restart"/>
            <w:tcMar/>
            <w:hideMark/>
          </w:tcPr>
          <w:p w:rsidRPr="0040413A" w:rsidR="00AC5CEE" w:rsidP="0040413A" w:rsidRDefault="00AC5CEE" w14:paraId="0530CAA5" w14:textId="77777777">
            <w:pPr>
              <w:jc w:val="both"/>
              <w:rPr>
                <w:rFonts w:ascii="Times New Roman" w:hAnsi="Times New Roman" w:cs="Times New Roman"/>
                <w:sz w:val="24"/>
                <w:szCs w:val="24"/>
              </w:rPr>
            </w:pPr>
            <w:r w:rsidRPr="0040413A">
              <w:rPr>
                <w:rFonts w:ascii="Times New Roman" w:hAnsi="Times New Roman" w:cs="Times New Roman"/>
                <w:sz w:val="24"/>
                <w:szCs w:val="24"/>
              </w:rPr>
              <w:lastRenderedPageBreak/>
              <w:t> </w:t>
            </w:r>
          </w:p>
        </w:tc>
      </w:tr>
      <w:tr w:rsidRPr="0040413A" w:rsidR="00AC5CEE" w:rsidTr="41CC11D6" w14:paraId="0530CAAA" w14:textId="77777777">
        <w:trPr>
          <w:trHeight w:val="360"/>
        </w:trPr>
        <w:tc>
          <w:tcPr>
            <w:tcW w:w="658" w:type="dxa"/>
            <w:noWrap/>
            <w:tcMar/>
            <w:hideMark/>
          </w:tcPr>
          <w:p w:rsidRPr="0040413A" w:rsidR="00AC5CEE" w:rsidP="0040413A" w:rsidRDefault="00AC5CEE" w14:paraId="0530CAA7" w14:textId="1ED978AF">
            <w:pPr>
              <w:jc w:val="both"/>
              <w:rPr>
                <w:rFonts w:ascii="Times New Roman" w:hAnsi="Times New Roman" w:cs="Times New Roman"/>
                <w:sz w:val="24"/>
                <w:szCs w:val="24"/>
              </w:rPr>
            </w:pPr>
            <w:r w:rsidRPr="0040413A">
              <w:rPr>
                <w:rFonts w:ascii="Times New Roman" w:hAnsi="Times New Roman" w:cs="Times New Roman"/>
                <w:sz w:val="24"/>
                <w:szCs w:val="24"/>
              </w:rPr>
              <w:t>3</w:t>
            </w:r>
          </w:p>
        </w:tc>
        <w:tc>
          <w:tcPr>
            <w:tcW w:w="7668" w:type="dxa"/>
            <w:tcMar/>
            <w:hideMark/>
          </w:tcPr>
          <w:p w:rsidRPr="0040413A" w:rsidR="00AC5CEE" w:rsidP="0040413A" w:rsidRDefault="00AC5CEE" w14:paraId="0530CAA8" w14:textId="17F78A13">
            <w:pPr>
              <w:jc w:val="both"/>
              <w:rPr>
                <w:rFonts w:ascii="Times New Roman" w:hAnsi="Times New Roman" w:cs="Times New Roman"/>
                <w:sz w:val="24"/>
                <w:szCs w:val="24"/>
              </w:rPr>
            </w:pPr>
            <w:r w:rsidRPr="0040413A">
              <w:rPr>
                <w:rFonts w:ascii="Times New Roman" w:hAnsi="Times New Roman" w:cs="Times New Roman"/>
                <w:sz w:val="24"/>
                <w:szCs w:val="24"/>
              </w:rPr>
              <w:t>Vahepealne hinnang</w:t>
            </w:r>
          </w:p>
        </w:tc>
        <w:tc>
          <w:tcPr>
            <w:tcW w:w="1314" w:type="dxa"/>
            <w:vMerge/>
            <w:tcMar/>
            <w:hideMark/>
          </w:tcPr>
          <w:p w:rsidRPr="0040413A" w:rsidR="00AC5CEE" w:rsidP="0040413A" w:rsidRDefault="00AC5CEE" w14:paraId="0530CAA9" w14:textId="77777777">
            <w:pPr>
              <w:jc w:val="both"/>
              <w:rPr>
                <w:rFonts w:ascii="Times New Roman" w:hAnsi="Times New Roman" w:cs="Times New Roman"/>
                <w:sz w:val="24"/>
                <w:szCs w:val="24"/>
              </w:rPr>
            </w:pPr>
          </w:p>
        </w:tc>
      </w:tr>
      <w:tr w:rsidRPr="0040413A" w:rsidR="00AC5CEE" w:rsidTr="41CC11D6" w14:paraId="0530CAAE" w14:textId="77777777">
        <w:trPr>
          <w:trHeight w:val="975"/>
        </w:trPr>
        <w:tc>
          <w:tcPr>
            <w:tcW w:w="658" w:type="dxa"/>
            <w:tcMar/>
            <w:hideMark/>
          </w:tcPr>
          <w:p w:rsidRPr="0040413A" w:rsidR="00AC5CEE" w:rsidP="0040413A" w:rsidRDefault="00AC5CEE" w14:paraId="0530CAAB" w14:textId="0E78ACBC">
            <w:pPr>
              <w:jc w:val="both"/>
              <w:rPr>
                <w:rFonts w:ascii="Times New Roman" w:hAnsi="Times New Roman" w:cs="Times New Roman"/>
                <w:sz w:val="24"/>
                <w:szCs w:val="24"/>
              </w:rPr>
            </w:pPr>
            <w:r w:rsidRPr="0040413A">
              <w:rPr>
                <w:rFonts w:ascii="Times New Roman" w:hAnsi="Times New Roman" w:cs="Times New Roman"/>
                <w:sz w:val="24"/>
                <w:szCs w:val="24"/>
              </w:rPr>
              <w:t>2</w:t>
            </w:r>
          </w:p>
        </w:tc>
        <w:tc>
          <w:tcPr>
            <w:tcW w:w="7668" w:type="dxa"/>
            <w:tcMar/>
            <w:hideMark/>
          </w:tcPr>
          <w:p w:rsidRPr="0040413A" w:rsidR="00AC5CEE" w:rsidP="0040413A" w:rsidRDefault="004F6412" w14:paraId="0530CAAC" w14:textId="6C8B2A55">
            <w:pPr>
              <w:jc w:val="both"/>
              <w:rPr>
                <w:rFonts w:ascii="Times New Roman" w:hAnsi="Times New Roman" w:cs="Times New Roman"/>
                <w:sz w:val="24"/>
                <w:szCs w:val="24"/>
              </w:rPr>
            </w:pPr>
            <w:r w:rsidRPr="004F6412">
              <w:rPr>
                <w:rFonts w:ascii="Times New Roman" w:hAnsi="Times New Roman" w:cs="Times New Roman"/>
                <w:sz w:val="24"/>
                <w:szCs w:val="24"/>
              </w:rPr>
              <w:t xml:space="preserve">Eelkaardistuse ja projektiplaani </w:t>
            </w:r>
            <w:r w:rsidRPr="340F5371" w:rsidR="2D0A5F4E">
              <w:rPr>
                <w:rFonts w:ascii="Times New Roman" w:hAnsi="Times New Roman" w:cs="Times New Roman"/>
                <w:sz w:val="24"/>
                <w:szCs w:val="24"/>
              </w:rPr>
              <w:t>põhised tegevused on piisavalt selged, kuid projekti tulemused ei ole üheselt hinnatavad ja mõõdetavad. Ajakava on üldiselt realistlik, kuid ei jäta võimalike ootamatuste tarbeks varu. Projekti eelarve ei ole avatud piisava detailsuse</w:t>
            </w:r>
            <w:r w:rsidRPr="340F5371" w:rsidR="46291C9E">
              <w:rPr>
                <w:rFonts w:ascii="Times New Roman" w:hAnsi="Times New Roman" w:cs="Times New Roman"/>
                <w:sz w:val="24"/>
                <w:szCs w:val="24"/>
              </w:rPr>
              <w:t xml:space="preserve">, </w:t>
            </w:r>
            <w:r w:rsidRPr="340F5371" w:rsidR="2D0A5F4E">
              <w:rPr>
                <w:rFonts w:ascii="Times New Roman" w:hAnsi="Times New Roman" w:cs="Times New Roman"/>
                <w:sz w:val="24"/>
                <w:szCs w:val="24"/>
              </w:rPr>
              <w:t>läbipaistvusega</w:t>
            </w:r>
            <w:r w:rsidRPr="340F5371" w:rsidR="46291C9E">
              <w:rPr>
                <w:rFonts w:ascii="Times New Roman" w:hAnsi="Times New Roman" w:cs="Times New Roman"/>
                <w:sz w:val="24"/>
                <w:szCs w:val="24"/>
              </w:rPr>
              <w:t xml:space="preserve"> ja/või </w:t>
            </w:r>
            <w:r w:rsidR="001763F9">
              <w:rPr>
                <w:rFonts w:ascii="Times New Roman" w:hAnsi="Times New Roman" w:cs="Times New Roman"/>
                <w:sz w:val="24"/>
                <w:szCs w:val="24"/>
              </w:rPr>
              <w:t xml:space="preserve">ei ole </w:t>
            </w:r>
            <w:r w:rsidRPr="340F5371" w:rsidR="46291C9E">
              <w:rPr>
                <w:rFonts w:ascii="Times New Roman" w:hAnsi="Times New Roman" w:cs="Times New Roman"/>
                <w:sz w:val="24"/>
                <w:szCs w:val="24"/>
              </w:rPr>
              <w:t>kuluefektiiv</w:t>
            </w:r>
            <w:r w:rsidR="001763F9">
              <w:rPr>
                <w:rFonts w:ascii="Times New Roman" w:hAnsi="Times New Roman" w:cs="Times New Roman"/>
                <w:sz w:val="24"/>
                <w:szCs w:val="24"/>
              </w:rPr>
              <w:t>ne</w:t>
            </w:r>
            <w:r w:rsidRPr="340F5371" w:rsidR="2D0A5F4E">
              <w:rPr>
                <w:rFonts w:ascii="Times New Roman" w:hAnsi="Times New Roman" w:cs="Times New Roman"/>
                <w:sz w:val="24"/>
                <w:szCs w:val="24"/>
              </w:rPr>
              <w:t xml:space="preserve">. </w:t>
            </w:r>
          </w:p>
        </w:tc>
        <w:tc>
          <w:tcPr>
            <w:tcW w:w="1314" w:type="dxa"/>
            <w:vMerge/>
            <w:tcMar/>
            <w:hideMark/>
          </w:tcPr>
          <w:p w:rsidRPr="0040413A" w:rsidR="00AC5CEE" w:rsidP="0040413A" w:rsidRDefault="00AC5CEE" w14:paraId="0530CAAD" w14:textId="77777777">
            <w:pPr>
              <w:jc w:val="both"/>
              <w:rPr>
                <w:rFonts w:ascii="Times New Roman" w:hAnsi="Times New Roman" w:cs="Times New Roman"/>
                <w:sz w:val="24"/>
                <w:szCs w:val="24"/>
              </w:rPr>
            </w:pPr>
          </w:p>
        </w:tc>
      </w:tr>
      <w:tr w:rsidRPr="0040413A" w:rsidR="00AC5CEE" w:rsidTr="41CC11D6" w14:paraId="0530CAB2" w14:textId="77777777">
        <w:trPr>
          <w:trHeight w:val="360"/>
        </w:trPr>
        <w:tc>
          <w:tcPr>
            <w:tcW w:w="658" w:type="dxa"/>
            <w:noWrap/>
            <w:tcMar/>
            <w:hideMark/>
          </w:tcPr>
          <w:p w:rsidRPr="0040413A" w:rsidR="00AC5CEE" w:rsidP="0040413A" w:rsidRDefault="00AC5CEE" w14:paraId="0530CAAF" w14:textId="01D130C7">
            <w:pPr>
              <w:jc w:val="both"/>
              <w:rPr>
                <w:rFonts w:ascii="Times New Roman" w:hAnsi="Times New Roman" w:cs="Times New Roman"/>
                <w:sz w:val="24"/>
                <w:szCs w:val="24"/>
              </w:rPr>
            </w:pPr>
            <w:r w:rsidRPr="0040413A">
              <w:rPr>
                <w:rFonts w:ascii="Times New Roman" w:hAnsi="Times New Roman" w:cs="Times New Roman"/>
                <w:sz w:val="24"/>
                <w:szCs w:val="24"/>
              </w:rPr>
              <w:t>1</w:t>
            </w:r>
          </w:p>
        </w:tc>
        <w:tc>
          <w:tcPr>
            <w:tcW w:w="7668" w:type="dxa"/>
            <w:tcMar/>
            <w:hideMark/>
          </w:tcPr>
          <w:p w:rsidRPr="0040413A" w:rsidR="00AC5CEE" w:rsidP="0040413A" w:rsidRDefault="00AC5CEE" w14:paraId="0530CAB0" w14:textId="5148E0DD">
            <w:pPr>
              <w:jc w:val="both"/>
              <w:rPr>
                <w:rFonts w:ascii="Times New Roman" w:hAnsi="Times New Roman" w:cs="Times New Roman"/>
                <w:sz w:val="24"/>
                <w:szCs w:val="24"/>
              </w:rPr>
            </w:pPr>
            <w:r w:rsidRPr="0040413A">
              <w:rPr>
                <w:rFonts w:ascii="Times New Roman" w:hAnsi="Times New Roman" w:cs="Times New Roman"/>
                <w:sz w:val="24"/>
                <w:szCs w:val="24"/>
              </w:rPr>
              <w:t>Vahepealne hinnang</w:t>
            </w:r>
          </w:p>
        </w:tc>
        <w:tc>
          <w:tcPr>
            <w:tcW w:w="1314" w:type="dxa"/>
            <w:vMerge/>
            <w:tcMar/>
            <w:hideMark/>
          </w:tcPr>
          <w:p w:rsidRPr="0040413A" w:rsidR="00AC5CEE" w:rsidP="0040413A" w:rsidRDefault="00AC5CEE" w14:paraId="0530CAB1" w14:textId="77777777">
            <w:pPr>
              <w:jc w:val="both"/>
              <w:rPr>
                <w:rFonts w:ascii="Times New Roman" w:hAnsi="Times New Roman" w:cs="Times New Roman"/>
                <w:sz w:val="24"/>
                <w:szCs w:val="24"/>
              </w:rPr>
            </w:pPr>
          </w:p>
        </w:tc>
      </w:tr>
      <w:tr w:rsidRPr="0040413A" w:rsidR="00AC5CEE" w:rsidTr="41CC11D6" w14:paraId="0530CAB6" w14:textId="77777777">
        <w:trPr>
          <w:trHeight w:val="900"/>
        </w:trPr>
        <w:tc>
          <w:tcPr>
            <w:tcW w:w="658" w:type="dxa"/>
            <w:tcMar/>
            <w:hideMark/>
          </w:tcPr>
          <w:p w:rsidRPr="0040413A" w:rsidR="00AC5CEE" w:rsidP="0040413A" w:rsidRDefault="00AC5CEE" w14:paraId="0530CAB3" w14:textId="73E75C52">
            <w:pPr>
              <w:jc w:val="both"/>
              <w:rPr>
                <w:rFonts w:ascii="Times New Roman" w:hAnsi="Times New Roman" w:cs="Times New Roman"/>
                <w:sz w:val="24"/>
                <w:szCs w:val="24"/>
              </w:rPr>
            </w:pPr>
            <w:r w:rsidRPr="0040413A">
              <w:rPr>
                <w:rFonts w:ascii="Times New Roman" w:hAnsi="Times New Roman" w:cs="Times New Roman"/>
                <w:sz w:val="24"/>
                <w:szCs w:val="24"/>
              </w:rPr>
              <w:t>0</w:t>
            </w:r>
          </w:p>
        </w:tc>
        <w:tc>
          <w:tcPr>
            <w:tcW w:w="7668" w:type="dxa"/>
            <w:tcMar/>
            <w:hideMark/>
          </w:tcPr>
          <w:p w:rsidRPr="0040413A" w:rsidR="00AC5CEE" w:rsidP="0040413A" w:rsidRDefault="004F6412" w14:paraId="0530CAB4" w14:textId="03C34C12">
            <w:pPr>
              <w:jc w:val="both"/>
              <w:rPr>
                <w:rFonts w:ascii="Times New Roman" w:hAnsi="Times New Roman" w:cs="Times New Roman"/>
                <w:sz w:val="24"/>
                <w:szCs w:val="24"/>
              </w:rPr>
            </w:pPr>
            <w:r w:rsidRPr="004F6412">
              <w:rPr>
                <w:rFonts w:ascii="Times New Roman" w:hAnsi="Times New Roman" w:cs="Times New Roman"/>
                <w:sz w:val="24"/>
                <w:szCs w:val="24"/>
              </w:rPr>
              <w:t xml:space="preserve">Eelkaardistuse ja projektiplaani </w:t>
            </w:r>
            <w:r w:rsidRPr="0040413A" w:rsidR="00AC5CEE">
              <w:rPr>
                <w:rFonts w:ascii="Times New Roman" w:hAnsi="Times New Roman" w:cs="Times New Roman"/>
                <w:sz w:val="24"/>
                <w:szCs w:val="24"/>
              </w:rPr>
              <w:t>põhised tegevused on ebaselged, tulemused ei ole mõõdetavad. Ajakavas ei ole piisavalt varu erinevate ootamatute asjaolude puhuks. Projekti vaheetapid ei ole selgesti eristatavad. Projekti eelarve ei ole läbipaistev</w:t>
            </w:r>
            <w:r w:rsidR="00D2686D">
              <w:rPr>
                <w:rFonts w:ascii="Times New Roman" w:hAnsi="Times New Roman" w:cs="Times New Roman"/>
                <w:sz w:val="24"/>
                <w:szCs w:val="24"/>
              </w:rPr>
              <w:t xml:space="preserve"> ega kuluefektiivne</w:t>
            </w:r>
            <w:r w:rsidRPr="0040413A" w:rsidR="00AC5CEE">
              <w:rPr>
                <w:rFonts w:ascii="Times New Roman" w:hAnsi="Times New Roman" w:cs="Times New Roman"/>
                <w:sz w:val="24"/>
                <w:szCs w:val="24"/>
              </w:rPr>
              <w:t>.</w:t>
            </w:r>
          </w:p>
        </w:tc>
        <w:tc>
          <w:tcPr>
            <w:tcW w:w="1314" w:type="dxa"/>
            <w:vMerge/>
            <w:tcMar/>
            <w:hideMark/>
          </w:tcPr>
          <w:p w:rsidRPr="0040413A" w:rsidR="00AC5CEE" w:rsidP="0040413A" w:rsidRDefault="00AC5CEE" w14:paraId="0530CAB5" w14:textId="77777777">
            <w:pPr>
              <w:jc w:val="both"/>
              <w:rPr>
                <w:rFonts w:ascii="Times New Roman" w:hAnsi="Times New Roman" w:cs="Times New Roman"/>
                <w:sz w:val="24"/>
                <w:szCs w:val="24"/>
              </w:rPr>
            </w:pPr>
          </w:p>
        </w:tc>
      </w:tr>
    </w:tbl>
    <w:p w:rsidRPr="0040413A" w:rsidR="0040413A" w:rsidP="0040413A" w:rsidRDefault="0040413A" w14:paraId="0530CAB7" w14:textId="77777777">
      <w:pPr>
        <w:jc w:val="both"/>
        <w:rPr>
          <w:rFonts w:ascii="Times New Roman" w:hAnsi="Times New Roman" w:cs="Times New Roman"/>
          <w:sz w:val="24"/>
          <w:szCs w:val="24"/>
        </w:rPr>
      </w:pPr>
    </w:p>
    <w:sectPr w:rsidRPr="0040413A" w:rsidR="0040413A">
      <w:head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33F" w:rsidP="0040413A" w:rsidRDefault="001F733F" w14:paraId="3250E0CE" w14:textId="77777777">
      <w:pPr>
        <w:spacing w:after="0" w:line="240" w:lineRule="auto"/>
      </w:pPr>
      <w:r>
        <w:separator/>
      </w:r>
    </w:p>
  </w:endnote>
  <w:endnote w:type="continuationSeparator" w:id="0">
    <w:p w:rsidR="001F733F" w:rsidP="0040413A" w:rsidRDefault="001F733F" w14:paraId="4EA2D1BC" w14:textId="77777777">
      <w:pPr>
        <w:spacing w:after="0" w:line="240" w:lineRule="auto"/>
      </w:pPr>
      <w:r>
        <w:continuationSeparator/>
      </w:r>
    </w:p>
  </w:endnote>
  <w:endnote w:type="continuationNotice" w:id="1">
    <w:p w:rsidR="001F733F" w:rsidRDefault="001F733F" w14:paraId="7114767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33F" w:rsidP="0040413A" w:rsidRDefault="001F733F" w14:paraId="778AE5C3" w14:textId="77777777">
      <w:pPr>
        <w:spacing w:after="0" w:line="240" w:lineRule="auto"/>
      </w:pPr>
      <w:r>
        <w:separator/>
      </w:r>
    </w:p>
  </w:footnote>
  <w:footnote w:type="continuationSeparator" w:id="0">
    <w:p w:rsidR="001F733F" w:rsidP="0040413A" w:rsidRDefault="001F733F" w14:paraId="7E001080" w14:textId="77777777">
      <w:pPr>
        <w:spacing w:after="0" w:line="240" w:lineRule="auto"/>
      </w:pPr>
      <w:r>
        <w:continuationSeparator/>
      </w:r>
    </w:p>
  </w:footnote>
  <w:footnote w:type="continuationNotice" w:id="1">
    <w:p w:rsidR="001F733F" w:rsidRDefault="001F733F" w14:paraId="26F92C2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4788" w:rsidRDefault="00F44788" w14:paraId="0BB3C110" w14:textId="77777777">
    <w:pPr>
      <w:pStyle w:val="Header"/>
    </w:pPr>
  </w:p>
  <w:p w:rsidR="0040413A" w:rsidRDefault="00F44788" w14:paraId="0530CABC" w14:textId="17AD356F">
    <w:pPr>
      <w:pStyle w:val="Header"/>
    </w:pPr>
    <w:r>
      <w:t>Versioon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713B"/>
    <w:multiLevelType w:val="multilevel"/>
    <w:tmpl w:val="8DCAF2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7151E"/>
    <w:multiLevelType w:val="multilevel"/>
    <w:tmpl w:val="C4A45C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946193"/>
    <w:multiLevelType w:val="multilevel"/>
    <w:tmpl w:val="168073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29002E"/>
    <w:multiLevelType w:val="multilevel"/>
    <w:tmpl w:val="122216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4766B"/>
    <w:multiLevelType w:val="multilevel"/>
    <w:tmpl w:val="91001B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B00B27"/>
    <w:multiLevelType w:val="multilevel"/>
    <w:tmpl w:val="1E60CC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A73FE9"/>
    <w:multiLevelType w:val="multilevel"/>
    <w:tmpl w:val="FCCA7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F01EFF"/>
    <w:multiLevelType w:val="multilevel"/>
    <w:tmpl w:val="AA4CC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6C74EB"/>
    <w:multiLevelType w:val="multilevel"/>
    <w:tmpl w:val="6E5C4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070DA8"/>
    <w:multiLevelType w:val="hybridMultilevel"/>
    <w:tmpl w:val="40FC91D0"/>
    <w:lvl w:ilvl="0" w:tplc="04250001">
      <w:start w:val="1"/>
      <w:numFmt w:val="bullet"/>
      <w:lvlText w:val=""/>
      <w:lvlJc w:val="left"/>
      <w:pPr>
        <w:ind w:left="720" w:hanging="360"/>
      </w:pPr>
      <w:rPr>
        <w:rFonts w:hint="default" w:ascii="Symbol" w:hAnsi="Symbol"/>
      </w:rPr>
    </w:lvl>
    <w:lvl w:ilvl="1" w:tplc="04250003">
      <w:start w:val="1"/>
      <w:numFmt w:val="bullet"/>
      <w:lvlText w:val="o"/>
      <w:lvlJc w:val="left"/>
      <w:pPr>
        <w:ind w:left="1440" w:hanging="360"/>
      </w:pPr>
      <w:rPr>
        <w:rFonts w:hint="default" w:ascii="Courier New" w:hAnsi="Courier New" w:cs="Courier New"/>
      </w:rPr>
    </w:lvl>
    <w:lvl w:ilvl="2" w:tplc="04250005">
      <w:start w:val="1"/>
      <w:numFmt w:val="bullet"/>
      <w:lvlText w:val=""/>
      <w:lvlJc w:val="left"/>
      <w:pPr>
        <w:ind w:left="2160" w:hanging="360"/>
      </w:pPr>
      <w:rPr>
        <w:rFonts w:hint="default" w:ascii="Wingdings" w:hAnsi="Wingdings"/>
      </w:rPr>
    </w:lvl>
    <w:lvl w:ilvl="3" w:tplc="04250001">
      <w:start w:val="1"/>
      <w:numFmt w:val="bullet"/>
      <w:lvlText w:val=""/>
      <w:lvlJc w:val="left"/>
      <w:pPr>
        <w:ind w:left="2880" w:hanging="360"/>
      </w:pPr>
      <w:rPr>
        <w:rFonts w:hint="default" w:ascii="Symbol" w:hAnsi="Symbol"/>
      </w:rPr>
    </w:lvl>
    <w:lvl w:ilvl="4" w:tplc="04250003">
      <w:start w:val="1"/>
      <w:numFmt w:val="bullet"/>
      <w:lvlText w:val="o"/>
      <w:lvlJc w:val="left"/>
      <w:pPr>
        <w:ind w:left="3600" w:hanging="360"/>
      </w:pPr>
      <w:rPr>
        <w:rFonts w:hint="default" w:ascii="Courier New" w:hAnsi="Courier New" w:cs="Courier New"/>
      </w:rPr>
    </w:lvl>
    <w:lvl w:ilvl="5" w:tplc="04250005">
      <w:start w:val="1"/>
      <w:numFmt w:val="bullet"/>
      <w:lvlText w:val=""/>
      <w:lvlJc w:val="left"/>
      <w:pPr>
        <w:ind w:left="4320" w:hanging="360"/>
      </w:pPr>
      <w:rPr>
        <w:rFonts w:hint="default" w:ascii="Wingdings" w:hAnsi="Wingdings"/>
      </w:rPr>
    </w:lvl>
    <w:lvl w:ilvl="6" w:tplc="04250001">
      <w:start w:val="1"/>
      <w:numFmt w:val="bullet"/>
      <w:lvlText w:val=""/>
      <w:lvlJc w:val="left"/>
      <w:pPr>
        <w:ind w:left="5040" w:hanging="360"/>
      </w:pPr>
      <w:rPr>
        <w:rFonts w:hint="default" w:ascii="Symbol" w:hAnsi="Symbol"/>
      </w:rPr>
    </w:lvl>
    <w:lvl w:ilvl="7" w:tplc="04250003">
      <w:start w:val="1"/>
      <w:numFmt w:val="bullet"/>
      <w:lvlText w:val="o"/>
      <w:lvlJc w:val="left"/>
      <w:pPr>
        <w:ind w:left="5760" w:hanging="360"/>
      </w:pPr>
      <w:rPr>
        <w:rFonts w:hint="default" w:ascii="Courier New" w:hAnsi="Courier New" w:cs="Courier New"/>
      </w:rPr>
    </w:lvl>
    <w:lvl w:ilvl="8" w:tplc="04250005">
      <w:start w:val="1"/>
      <w:numFmt w:val="bullet"/>
      <w:lvlText w:val=""/>
      <w:lvlJc w:val="left"/>
      <w:pPr>
        <w:ind w:left="6480" w:hanging="360"/>
      </w:pPr>
      <w:rPr>
        <w:rFonts w:hint="default" w:ascii="Wingdings" w:hAnsi="Wingdings"/>
      </w:rPr>
    </w:lvl>
  </w:abstractNum>
  <w:abstractNum w:abstractNumId="10" w15:restartNumberingAfterBreak="0">
    <w:nsid w:val="5F08763C"/>
    <w:multiLevelType w:val="multilevel"/>
    <w:tmpl w:val="3D22A9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EA2A1F"/>
    <w:multiLevelType w:val="multilevel"/>
    <w:tmpl w:val="65DAEA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EC2A3B"/>
    <w:multiLevelType w:val="multilevel"/>
    <w:tmpl w:val="C18A4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90328386">
    <w:abstractNumId w:val="7"/>
  </w:num>
  <w:num w:numId="2" w16cid:durableId="1047608781">
    <w:abstractNumId w:val="8"/>
  </w:num>
  <w:num w:numId="3" w16cid:durableId="596644839">
    <w:abstractNumId w:val="6"/>
  </w:num>
  <w:num w:numId="4" w16cid:durableId="756290732">
    <w:abstractNumId w:val="0"/>
  </w:num>
  <w:num w:numId="5" w16cid:durableId="1142504624">
    <w:abstractNumId w:val="1"/>
  </w:num>
  <w:num w:numId="6" w16cid:durableId="1967001989">
    <w:abstractNumId w:val="4"/>
  </w:num>
  <w:num w:numId="7" w16cid:durableId="1423799034">
    <w:abstractNumId w:val="3"/>
  </w:num>
  <w:num w:numId="8" w16cid:durableId="962930331">
    <w:abstractNumId w:val="5"/>
  </w:num>
  <w:num w:numId="9" w16cid:durableId="1142498598">
    <w:abstractNumId w:val="10"/>
  </w:num>
  <w:num w:numId="10" w16cid:durableId="1768501132">
    <w:abstractNumId w:val="2"/>
  </w:num>
  <w:num w:numId="11" w16cid:durableId="1542015430">
    <w:abstractNumId w:val="11"/>
  </w:num>
  <w:num w:numId="12" w16cid:durableId="1259170886">
    <w:abstractNumId w:val="12"/>
  </w:num>
  <w:num w:numId="13" w16cid:durableId="1718236837">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13A"/>
    <w:rsid w:val="00001466"/>
    <w:rsid w:val="00006F4F"/>
    <w:rsid w:val="000119A3"/>
    <w:rsid w:val="00011C17"/>
    <w:rsid w:val="00011E10"/>
    <w:rsid w:val="000159A9"/>
    <w:rsid w:val="0001725C"/>
    <w:rsid w:val="00023203"/>
    <w:rsid w:val="000252F3"/>
    <w:rsid w:val="00026685"/>
    <w:rsid w:val="00032EEB"/>
    <w:rsid w:val="000375F2"/>
    <w:rsid w:val="00042942"/>
    <w:rsid w:val="00055AC9"/>
    <w:rsid w:val="0007406C"/>
    <w:rsid w:val="0008647B"/>
    <w:rsid w:val="00090A0E"/>
    <w:rsid w:val="00095FE4"/>
    <w:rsid w:val="000A000C"/>
    <w:rsid w:val="000A182A"/>
    <w:rsid w:val="000A6BBA"/>
    <w:rsid w:val="000B1D7E"/>
    <w:rsid w:val="000C6E74"/>
    <w:rsid w:val="000D1E24"/>
    <w:rsid w:val="000D7051"/>
    <w:rsid w:val="000F1A93"/>
    <w:rsid w:val="000F23A7"/>
    <w:rsid w:val="000F23B5"/>
    <w:rsid w:val="000F4525"/>
    <w:rsid w:val="00100690"/>
    <w:rsid w:val="00102FF2"/>
    <w:rsid w:val="00110728"/>
    <w:rsid w:val="00113EAF"/>
    <w:rsid w:val="00125633"/>
    <w:rsid w:val="00127801"/>
    <w:rsid w:val="00141FE6"/>
    <w:rsid w:val="001435B3"/>
    <w:rsid w:val="00153D11"/>
    <w:rsid w:val="0016232A"/>
    <w:rsid w:val="00171174"/>
    <w:rsid w:val="00173F04"/>
    <w:rsid w:val="001763F9"/>
    <w:rsid w:val="00182C0D"/>
    <w:rsid w:val="00183FA9"/>
    <w:rsid w:val="001903E0"/>
    <w:rsid w:val="00195301"/>
    <w:rsid w:val="001B4509"/>
    <w:rsid w:val="001D2223"/>
    <w:rsid w:val="001E6316"/>
    <w:rsid w:val="001F2AE7"/>
    <w:rsid w:val="001F733F"/>
    <w:rsid w:val="00202472"/>
    <w:rsid w:val="00205E36"/>
    <w:rsid w:val="00216D66"/>
    <w:rsid w:val="0022391D"/>
    <w:rsid w:val="0022636F"/>
    <w:rsid w:val="00240ACB"/>
    <w:rsid w:val="002575D5"/>
    <w:rsid w:val="0027033C"/>
    <w:rsid w:val="00296DB4"/>
    <w:rsid w:val="002A25B0"/>
    <w:rsid w:val="002A7D71"/>
    <w:rsid w:val="002B147B"/>
    <w:rsid w:val="002C0AB5"/>
    <w:rsid w:val="002C51F1"/>
    <w:rsid w:val="002D1346"/>
    <w:rsid w:val="002D2B1F"/>
    <w:rsid w:val="002D738E"/>
    <w:rsid w:val="002E2A1E"/>
    <w:rsid w:val="00301D54"/>
    <w:rsid w:val="00305F21"/>
    <w:rsid w:val="00307D99"/>
    <w:rsid w:val="0031310E"/>
    <w:rsid w:val="00323128"/>
    <w:rsid w:val="003270F8"/>
    <w:rsid w:val="00335F18"/>
    <w:rsid w:val="00342C1B"/>
    <w:rsid w:val="003432A6"/>
    <w:rsid w:val="00347047"/>
    <w:rsid w:val="003527F9"/>
    <w:rsid w:val="00356110"/>
    <w:rsid w:val="00363CF4"/>
    <w:rsid w:val="0036511B"/>
    <w:rsid w:val="0036620D"/>
    <w:rsid w:val="00370853"/>
    <w:rsid w:val="00370ABA"/>
    <w:rsid w:val="00376105"/>
    <w:rsid w:val="00377BCB"/>
    <w:rsid w:val="003823C1"/>
    <w:rsid w:val="003854A5"/>
    <w:rsid w:val="00387CF6"/>
    <w:rsid w:val="003902F6"/>
    <w:rsid w:val="00396873"/>
    <w:rsid w:val="003A3D97"/>
    <w:rsid w:val="003A4F8D"/>
    <w:rsid w:val="003B31AF"/>
    <w:rsid w:val="003C1DDF"/>
    <w:rsid w:val="003C47C9"/>
    <w:rsid w:val="003C6C90"/>
    <w:rsid w:val="003D4E5E"/>
    <w:rsid w:val="003E4579"/>
    <w:rsid w:val="003E5F81"/>
    <w:rsid w:val="003F5230"/>
    <w:rsid w:val="003F5B66"/>
    <w:rsid w:val="003F5F30"/>
    <w:rsid w:val="004033D6"/>
    <w:rsid w:val="0040413A"/>
    <w:rsid w:val="0040606D"/>
    <w:rsid w:val="0042282D"/>
    <w:rsid w:val="00430FCD"/>
    <w:rsid w:val="00434D94"/>
    <w:rsid w:val="004351FA"/>
    <w:rsid w:val="00437609"/>
    <w:rsid w:val="0044248B"/>
    <w:rsid w:val="00443855"/>
    <w:rsid w:val="0045050B"/>
    <w:rsid w:val="00455F19"/>
    <w:rsid w:val="00465A07"/>
    <w:rsid w:val="00471132"/>
    <w:rsid w:val="00482249"/>
    <w:rsid w:val="00482B90"/>
    <w:rsid w:val="004920C4"/>
    <w:rsid w:val="004945F0"/>
    <w:rsid w:val="00497542"/>
    <w:rsid w:val="004A00E6"/>
    <w:rsid w:val="004A5498"/>
    <w:rsid w:val="004A568F"/>
    <w:rsid w:val="004B1D4C"/>
    <w:rsid w:val="004C3B41"/>
    <w:rsid w:val="004D7B29"/>
    <w:rsid w:val="004F6412"/>
    <w:rsid w:val="004F6824"/>
    <w:rsid w:val="00500716"/>
    <w:rsid w:val="0050127D"/>
    <w:rsid w:val="00522EB9"/>
    <w:rsid w:val="00523DCB"/>
    <w:rsid w:val="00523EDA"/>
    <w:rsid w:val="00526F25"/>
    <w:rsid w:val="00533FB0"/>
    <w:rsid w:val="005349FE"/>
    <w:rsid w:val="005364CC"/>
    <w:rsid w:val="00545117"/>
    <w:rsid w:val="005517C5"/>
    <w:rsid w:val="00554D26"/>
    <w:rsid w:val="005625FF"/>
    <w:rsid w:val="00577934"/>
    <w:rsid w:val="00580C07"/>
    <w:rsid w:val="0058168E"/>
    <w:rsid w:val="00590042"/>
    <w:rsid w:val="005A78C5"/>
    <w:rsid w:val="005B49A9"/>
    <w:rsid w:val="005B4AA9"/>
    <w:rsid w:val="005C07DE"/>
    <w:rsid w:val="005C2234"/>
    <w:rsid w:val="005C65E1"/>
    <w:rsid w:val="005D7FB2"/>
    <w:rsid w:val="005E4FB2"/>
    <w:rsid w:val="005F0C12"/>
    <w:rsid w:val="005F5697"/>
    <w:rsid w:val="005F75BD"/>
    <w:rsid w:val="00617313"/>
    <w:rsid w:val="00620EC6"/>
    <w:rsid w:val="00626871"/>
    <w:rsid w:val="00626C54"/>
    <w:rsid w:val="00637956"/>
    <w:rsid w:val="00640D1F"/>
    <w:rsid w:val="006472F3"/>
    <w:rsid w:val="00651B0A"/>
    <w:rsid w:val="00653465"/>
    <w:rsid w:val="0066298F"/>
    <w:rsid w:val="00662FFC"/>
    <w:rsid w:val="00664142"/>
    <w:rsid w:val="00664206"/>
    <w:rsid w:val="00673A92"/>
    <w:rsid w:val="00674F0D"/>
    <w:rsid w:val="00680CE0"/>
    <w:rsid w:val="00680F5E"/>
    <w:rsid w:val="006833F5"/>
    <w:rsid w:val="00683DE0"/>
    <w:rsid w:val="00684C9D"/>
    <w:rsid w:val="0069110C"/>
    <w:rsid w:val="0069567D"/>
    <w:rsid w:val="006A1F1F"/>
    <w:rsid w:val="006A4333"/>
    <w:rsid w:val="006C2525"/>
    <w:rsid w:val="006D78BD"/>
    <w:rsid w:val="006E0B69"/>
    <w:rsid w:val="006E5A73"/>
    <w:rsid w:val="006E5AC4"/>
    <w:rsid w:val="006E7F15"/>
    <w:rsid w:val="006F2C46"/>
    <w:rsid w:val="00704D6E"/>
    <w:rsid w:val="007072C0"/>
    <w:rsid w:val="00713E3E"/>
    <w:rsid w:val="00722F38"/>
    <w:rsid w:val="0072548C"/>
    <w:rsid w:val="00725863"/>
    <w:rsid w:val="007443DA"/>
    <w:rsid w:val="00746976"/>
    <w:rsid w:val="00760837"/>
    <w:rsid w:val="00764AAA"/>
    <w:rsid w:val="00774D60"/>
    <w:rsid w:val="00775F8D"/>
    <w:rsid w:val="00782776"/>
    <w:rsid w:val="00791E24"/>
    <w:rsid w:val="0079703A"/>
    <w:rsid w:val="007975C8"/>
    <w:rsid w:val="007A0962"/>
    <w:rsid w:val="007A415F"/>
    <w:rsid w:val="007B4C6C"/>
    <w:rsid w:val="007C16D3"/>
    <w:rsid w:val="007F4035"/>
    <w:rsid w:val="008046E4"/>
    <w:rsid w:val="00820E77"/>
    <w:rsid w:val="008251DF"/>
    <w:rsid w:val="0083333A"/>
    <w:rsid w:val="00834945"/>
    <w:rsid w:val="0083565B"/>
    <w:rsid w:val="008369C4"/>
    <w:rsid w:val="00842220"/>
    <w:rsid w:val="00853322"/>
    <w:rsid w:val="00855190"/>
    <w:rsid w:val="0086090B"/>
    <w:rsid w:val="0086733E"/>
    <w:rsid w:val="008707C2"/>
    <w:rsid w:val="00871800"/>
    <w:rsid w:val="00871EA8"/>
    <w:rsid w:val="00872FB2"/>
    <w:rsid w:val="008748ED"/>
    <w:rsid w:val="00874C46"/>
    <w:rsid w:val="008803A2"/>
    <w:rsid w:val="0088188B"/>
    <w:rsid w:val="008836B9"/>
    <w:rsid w:val="008836C2"/>
    <w:rsid w:val="008B17E1"/>
    <w:rsid w:val="008B2810"/>
    <w:rsid w:val="008B3AD9"/>
    <w:rsid w:val="008B6B03"/>
    <w:rsid w:val="008C3435"/>
    <w:rsid w:val="008C63F1"/>
    <w:rsid w:val="008E0D58"/>
    <w:rsid w:val="008F1395"/>
    <w:rsid w:val="00914023"/>
    <w:rsid w:val="00920EA9"/>
    <w:rsid w:val="00923550"/>
    <w:rsid w:val="00925018"/>
    <w:rsid w:val="00930F55"/>
    <w:rsid w:val="0093180A"/>
    <w:rsid w:val="00936989"/>
    <w:rsid w:val="00943F33"/>
    <w:rsid w:val="00944694"/>
    <w:rsid w:val="00945349"/>
    <w:rsid w:val="00945DAD"/>
    <w:rsid w:val="0095573D"/>
    <w:rsid w:val="00960CDA"/>
    <w:rsid w:val="009639E9"/>
    <w:rsid w:val="00982F01"/>
    <w:rsid w:val="0098558E"/>
    <w:rsid w:val="009A1587"/>
    <w:rsid w:val="009A16BC"/>
    <w:rsid w:val="009C1B8B"/>
    <w:rsid w:val="009C4058"/>
    <w:rsid w:val="009C7CEA"/>
    <w:rsid w:val="009D4725"/>
    <w:rsid w:val="009D5B4F"/>
    <w:rsid w:val="009E0ABC"/>
    <w:rsid w:val="009E53B2"/>
    <w:rsid w:val="009F15B0"/>
    <w:rsid w:val="009F166C"/>
    <w:rsid w:val="009F448A"/>
    <w:rsid w:val="00A02039"/>
    <w:rsid w:val="00A0222C"/>
    <w:rsid w:val="00A05B78"/>
    <w:rsid w:val="00A15006"/>
    <w:rsid w:val="00A242CA"/>
    <w:rsid w:val="00A24820"/>
    <w:rsid w:val="00A262B6"/>
    <w:rsid w:val="00A4589A"/>
    <w:rsid w:val="00A46110"/>
    <w:rsid w:val="00A73021"/>
    <w:rsid w:val="00A75315"/>
    <w:rsid w:val="00A82CA7"/>
    <w:rsid w:val="00A86411"/>
    <w:rsid w:val="00A94EDF"/>
    <w:rsid w:val="00A977D8"/>
    <w:rsid w:val="00AA0B6F"/>
    <w:rsid w:val="00AA2FFB"/>
    <w:rsid w:val="00AA519C"/>
    <w:rsid w:val="00AA5D8E"/>
    <w:rsid w:val="00AA7AFE"/>
    <w:rsid w:val="00AB03F6"/>
    <w:rsid w:val="00AB1EA9"/>
    <w:rsid w:val="00AC0448"/>
    <w:rsid w:val="00AC586F"/>
    <w:rsid w:val="00AC5CEE"/>
    <w:rsid w:val="00AC67D5"/>
    <w:rsid w:val="00AC79ED"/>
    <w:rsid w:val="00AD181C"/>
    <w:rsid w:val="00AE66E1"/>
    <w:rsid w:val="00AE6B7C"/>
    <w:rsid w:val="00AF5F05"/>
    <w:rsid w:val="00B04B1C"/>
    <w:rsid w:val="00B074D7"/>
    <w:rsid w:val="00B2351B"/>
    <w:rsid w:val="00B25291"/>
    <w:rsid w:val="00B3530E"/>
    <w:rsid w:val="00B413B4"/>
    <w:rsid w:val="00B42B2C"/>
    <w:rsid w:val="00B4548F"/>
    <w:rsid w:val="00B56275"/>
    <w:rsid w:val="00B66E1B"/>
    <w:rsid w:val="00B715A0"/>
    <w:rsid w:val="00B71AE7"/>
    <w:rsid w:val="00B74E3A"/>
    <w:rsid w:val="00B75F03"/>
    <w:rsid w:val="00B77A2B"/>
    <w:rsid w:val="00B824B5"/>
    <w:rsid w:val="00B876AA"/>
    <w:rsid w:val="00B96311"/>
    <w:rsid w:val="00BA045D"/>
    <w:rsid w:val="00BA31FA"/>
    <w:rsid w:val="00BB2372"/>
    <w:rsid w:val="00BC608E"/>
    <w:rsid w:val="00BD4755"/>
    <w:rsid w:val="00BD5214"/>
    <w:rsid w:val="00BD5F97"/>
    <w:rsid w:val="00BE1D29"/>
    <w:rsid w:val="00BE3A00"/>
    <w:rsid w:val="00BE49FB"/>
    <w:rsid w:val="00BF1203"/>
    <w:rsid w:val="00BF53F6"/>
    <w:rsid w:val="00BF5C69"/>
    <w:rsid w:val="00BF709C"/>
    <w:rsid w:val="00C00255"/>
    <w:rsid w:val="00C04661"/>
    <w:rsid w:val="00C2669C"/>
    <w:rsid w:val="00C31C4C"/>
    <w:rsid w:val="00C33016"/>
    <w:rsid w:val="00C36E9C"/>
    <w:rsid w:val="00C40199"/>
    <w:rsid w:val="00C41C59"/>
    <w:rsid w:val="00C50208"/>
    <w:rsid w:val="00C748D2"/>
    <w:rsid w:val="00C74A30"/>
    <w:rsid w:val="00C85610"/>
    <w:rsid w:val="00C87C08"/>
    <w:rsid w:val="00C903FB"/>
    <w:rsid w:val="00C90F27"/>
    <w:rsid w:val="00C9287F"/>
    <w:rsid w:val="00C94230"/>
    <w:rsid w:val="00CA249D"/>
    <w:rsid w:val="00CA2CFF"/>
    <w:rsid w:val="00CB234C"/>
    <w:rsid w:val="00CB4954"/>
    <w:rsid w:val="00CC234A"/>
    <w:rsid w:val="00CD00B8"/>
    <w:rsid w:val="00CD2945"/>
    <w:rsid w:val="00CE6241"/>
    <w:rsid w:val="00CE71F6"/>
    <w:rsid w:val="00CF2CBC"/>
    <w:rsid w:val="00CF4B7B"/>
    <w:rsid w:val="00D04140"/>
    <w:rsid w:val="00D06D01"/>
    <w:rsid w:val="00D17C52"/>
    <w:rsid w:val="00D2686D"/>
    <w:rsid w:val="00D3795F"/>
    <w:rsid w:val="00D40606"/>
    <w:rsid w:val="00D40887"/>
    <w:rsid w:val="00D43A07"/>
    <w:rsid w:val="00D43FD9"/>
    <w:rsid w:val="00D61CEC"/>
    <w:rsid w:val="00D648AE"/>
    <w:rsid w:val="00D6747D"/>
    <w:rsid w:val="00D73B7F"/>
    <w:rsid w:val="00D87254"/>
    <w:rsid w:val="00D872F9"/>
    <w:rsid w:val="00D908B6"/>
    <w:rsid w:val="00D913F2"/>
    <w:rsid w:val="00D96EBF"/>
    <w:rsid w:val="00DA5243"/>
    <w:rsid w:val="00DB1AB5"/>
    <w:rsid w:val="00DD2A60"/>
    <w:rsid w:val="00DD4462"/>
    <w:rsid w:val="00DE0D7E"/>
    <w:rsid w:val="00DF4742"/>
    <w:rsid w:val="00E03D16"/>
    <w:rsid w:val="00E046F8"/>
    <w:rsid w:val="00E058D6"/>
    <w:rsid w:val="00E061C8"/>
    <w:rsid w:val="00E06DD7"/>
    <w:rsid w:val="00E12215"/>
    <w:rsid w:val="00E137D1"/>
    <w:rsid w:val="00E14336"/>
    <w:rsid w:val="00E162EF"/>
    <w:rsid w:val="00E2453D"/>
    <w:rsid w:val="00E408F9"/>
    <w:rsid w:val="00E46A41"/>
    <w:rsid w:val="00E54770"/>
    <w:rsid w:val="00E56E05"/>
    <w:rsid w:val="00E5727C"/>
    <w:rsid w:val="00E66F5D"/>
    <w:rsid w:val="00E73173"/>
    <w:rsid w:val="00E82C28"/>
    <w:rsid w:val="00E90D7A"/>
    <w:rsid w:val="00E92ED8"/>
    <w:rsid w:val="00EA729A"/>
    <w:rsid w:val="00EA7D27"/>
    <w:rsid w:val="00EB71E0"/>
    <w:rsid w:val="00EC29C6"/>
    <w:rsid w:val="00EC5A08"/>
    <w:rsid w:val="00ED32B2"/>
    <w:rsid w:val="00EE19C9"/>
    <w:rsid w:val="00EE41C3"/>
    <w:rsid w:val="00EF484F"/>
    <w:rsid w:val="00F02DAA"/>
    <w:rsid w:val="00F2029B"/>
    <w:rsid w:val="00F36B4F"/>
    <w:rsid w:val="00F44788"/>
    <w:rsid w:val="00F565F6"/>
    <w:rsid w:val="00F60BC0"/>
    <w:rsid w:val="00F616DA"/>
    <w:rsid w:val="00F62F07"/>
    <w:rsid w:val="00F637A7"/>
    <w:rsid w:val="00F6456E"/>
    <w:rsid w:val="00F924EE"/>
    <w:rsid w:val="00F92ACD"/>
    <w:rsid w:val="00F96C31"/>
    <w:rsid w:val="00F9706E"/>
    <w:rsid w:val="00FB48FD"/>
    <w:rsid w:val="00FD2861"/>
    <w:rsid w:val="00FE0913"/>
    <w:rsid w:val="00FE1FBA"/>
    <w:rsid w:val="00FF2376"/>
    <w:rsid w:val="00FF4314"/>
    <w:rsid w:val="00FF6149"/>
    <w:rsid w:val="00FF6DFE"/>
    <w:rsid w:val="182080ED"/>
    <w:rsid w:val="22D9A707"/>
    <w:rsid w:val="24C2747F"/>
    <w:rsid w:val="26A484AB"/>
    <w:rsid w:val="2D0A5F4E"/>
    <w:rsid w:val="340F5371"/>
    <w:rsid w:val="3A281F4B"/>
    <w:rsid w:val="4060F43E"/>
    <w:rsid w:val="41CC11D6"/>
    <w:rsid w:val="46291C9E"/>
    <w:rsid w:val="4D172D13"/>
    <w:rsid w:val="525F346B"/>
    <w:rsid w:val="5C58DF24"/>
    <w:rsid w:val="6A8CABAB"/>
    <w:rsid w:val="71B349E1"/>
    <w:rsid w:val="7EB05D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0CA40"/>
  <w15:chartTrackingRefBased/>
  <w15:docId w15:val="{DF5FA993-0C88-40C7-948A-67488EBA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31F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041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0413A"/>
    <w:pPr>
      <w:tabs>
        <w:tab w:val="center" w:pos="4536"/>
        <w:tab w:val="right" w:pos="9072"/>
      </w:tabs>
      <w:spacing w:after="0" w:line="240" w:lineRule="auto"/>
    </w:pPr>
  </w:style>
  <w:style w:type="character" w:styleId="HeaderChar" w:customStyle="1">
    <w:name w:val="Header Char"/>
    <w:basedOn w:val="DefaultParagraphFont"/>
    <w:link w:val="Header"/>
    <w:uiPriority w:val="99"/>
    <w:rsid w:val="0040413A"/>
  </w:style>
  <w:style w:type="paragraph" w:styleId="Footer">
    <w:name w:val="footer"/>
    <w:basedOn w:val="Normal"/>
    <w:link w:val="FooterChar"/>
    <w:uiPriority w:val="99"/>
    <w:unhideWhenUsed/>
    <w:rsid w:val="0040413A"/>
    <w:pPr>
      <w:tabs>
        <w:tab w:val="center" w:pos="4536"/>
        <w:tab w:val="right" w:pos="9072"/>
      </w:tabs>
      <w:spacing w:after="0" w:line="240" w:lineRule="auto"/>
    </w:pPr>
  </w:style>
  <w:style w:type="character" w:styleId="FooterChar" w:customStyle="1">
    <w:name w:val="Footer Char"/>
    <w:basedOn w:val="DefaultParagraphFont"/>
    <w:link w:val="Footer"/>
    <w:uiPriority w:val="99"/>
    <w:rsid w:val="0040413A"/>
  </w:style>
  <w:style w:type="character" w:styleId="CommentReference">
    <w:name w:val="annotation reference"/>
    <w:basedOn w:val="DefaultParagraphFont"/>
    <w:uiPriority w:val="99"/>
    <w:semiHidden/>
    <w:unhideWhenUsed/>
    <w:rsid w:val="003F5230"/>
    <w:rPr>
      <w:sz w:val="16"/>
      <w:szCs w:val="16"/>
    </w:rPr>
  </w:style>
  <w:style w:type="paragraph" w:styleId="CommentText">
    <w:name w:val="annotation text"/>
    <w:basedOn w:val="Normal"/>
    <w:link w:val="CommentTextChar"/>
    <w:uiPriority w:val="99"/>
    <w:unhideWhenUsed/>
    <w:rsid w:val="003F5230"/>
    <w:pPr>
      <w:spacing w:line="240" w:lineRule="auto"/>
    </w:pPr>
    <w:rPr>
      <w:sz w:val="20"/>
      <w:szCs w:val="20"/>
    </w:rPr>
  </w:style>
  <w:style w:type="character" w:styleId="CommentTextChar" w:customStyle="1">
    <w:name w:val="Comment Text Char"/>
    <w:basedOn w:val="DefaultParagraphFont"/>
    <w:link w:val="CommentText"/>
    <w:uiPriority w:val="99"/>
    <w:rsid w:val="003F5230"/>
    <w:rPr>
      <w:sz w:val="20"/>
      <w:szCs w:val="20"/>
    </w:rPr>
  </w:style>
  <w:style w:type="paragraph" w:styleId="CommentSubject">
    <w:name w:val="annotation subject"/>
    <w:basedOn w:val="CommentText"/>
    <w:next w:val="CommentText"/>
    <w:link w:val="CommentSubjectChar"/>
    <w:uiPriority w:val="99"/>
    <w:semiHidden/>
    <w:unhideWhenUsed/>
    <w:rsid w:val="00B3530E"/>
    <w:rPr>
      <w:b/>
      <w:bCs/>
    </w:rPr>
  </w:style>
  <w:style w:type="character" w:styleId="CommentSubjectChar" w:customStyle="1">
    <w:name w:val="Comment Subject Char"/>
    <w:basedOn w:val="CommentTextChar"/>
    <w:link w:val="CommentSubject"/>
    <w:uiPriority w:val="99"/>
    <w:semiHidden/>
    <w:rsid w:val="00B3530E"/>
    <w:rPr>
      <w:b/>
      <w:bCs/>
      <w:sz w:val="20"/>
      <w:szCs w:val="20"/>
    </w:rPr>
  </w:style>
  <w:style w:type="character" w:styleId="Hyperlink">
    <w:name w:val="Hyperlink"/>
    <w:basedOn w:val="DefaultParagraphFont"/>
    <w:uiPriority w:val="99"/>
    <w:unhideWhenUsed/>
    <w:rPr>
      <w:color w:val="0563C1" w:themeColor="hyperlink"/>
      <w:u w:val="single"/>
    </w:rPr>
  </w:style>
  <w:style w:type="paragraph" w:styleId="paragraph" w:customStyle="1">
    <w:name w:val="paragraph"/>
    <w:basedOn w:val="Normal"/>
    <w:rsid w:val="00471132"/>
    <w:pPr>
      <w:spacing w:before="100" w:beforeAutospacing="1" w:after="100" w:afterAutospacing="1" w:line="240" w:lineRule="auto"/>
    </w:pPr>
    <w:rPr>
      <w:rFonts w:ascii="Times New Roman" w:hAnsi="Times New Roman" w:eastAsia="Times New Roman" w:cs="Times New Roman"/>
      <w:sz w:val="24"/>
      <w:szCs w:val="24"/>
      <w:lang w:eastAsia="et-EE"/>
    </w:rPr>
  </w:style>
  <w:style w:type="character" w:styleId="normaltextrun" w:customStyle="1">
    <w:name w:val="normaltextrun"/>
    <w:basedOn w:val="DefaultParagraphFont"/>
    <w:rsid w:val="00471132"/>
  </w:style>
  <w:style w:type="character" w:styleId="eop" w:customStyle="1">
    <w:name w:val="eop"/>
    <w:basedOn w:val="DefaultParagraphFont"/>
    <w:rsid w:val="00471132"/>
  </w:style>
  <w:style w:type="paragraph" w:styleId="ListParagraph">
    <w:name w:val="List Paragraph"/>
    <w:basedOn w:val="Normal"/>
    <w:uiPriority w:val="34"/>
    <w:qFormat/>
    <w:rsid w:val="004A568F"/>
    <w:pPr>
      <w:ind w:left="720"/>
      <w:contextualSpacing/>
    </w:pPr>
  </w:style>
  <w:style w:type="paragraph" w:styleId="Revision">
    <w:name w:val="Revision"/>
    <w:hidden/>
    <w:uiPriority w:val="99"/>
    <w:semiHidden/>
    <w:rsid w:val="00F202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4159">
      <w:bodyDiv w:val="1"/>
      <w:marLeft w:val="0"/>
      <w:marRight w:val="0"/>
      <w:marTop w:val="0"/>
      <w:marBottom w:val="0"/>
      <w:divBdr>
        <w:top w:val="none" w:sz="0" w:space="0" w:color="auto"/>
        <w:left w:val="none" w:sz="0" w:space="0" w:color="auto"/>
        <w:bottom w:val="none" w:sz="0" w:space="0" w:color="auto"/>
        <w:right w:val="none" w:sz="0" w:space="0" w:color="auto"/>
      </w:divBdr>
    </w:div>
    <w:div w:id="614097150">
      <w:bodyDiv w:val="1"/>
      <w:marLeft w:val="0"/>
      <w:marRight w:val="0"/>
      <w:marTop w:val="0"/>
      <w:marBottom w:val="0"/>
      <w:divBdr>
        <w:top w:val="none" w:sz="0" w:space="0" w:color="auto"/>
        <w:left w:val="none" w:sz="0" w:space="0" w:color="auto"/>
        <w:bottom w:val="none" w:sz="0" w:space="0" w:color="auto"/>
        <w:right w:val="none" w:sz="0" w:space="0" w:color="auto"/>
      </w:divBdr>
      <w:divsChild>
        <w:div w:id="689720451">
          <w:marLeft w:val="0"/>
          <w:marRight w:val="0"/>
          <w:marTop w:val="0"/>
          <w:marBottom w:val="0"/>
          <w:divBdr>
            <w:top w:val="none" w:sz="0" w:space="0" w:color="auto"/>
            <w:left w:val="none" w:sz="0" w:space="0" w:color="auto"/>
            <w:bottom w:val="none" w:sz="0" w:space="0" w:color="auto"/>
            <w:right w:val="none" w:sz="0" w:space="0" w:color="auto"/>
          </w:divBdr>
        </w:div>
        <w:div w:id="1075787692">
          <w:marLeft w:val="0"/>
          <w:marRight w:val="0"/>
          <w:marTop w:val="0"/>
          <w:marBottom w:val="0"/>
          <w:divBdr>
            <w:top w:val="none" w:sz="0" w:space="0" w:color="auto"/>
            <w:left w:val="none" w:sz="0" w:space="0" w:color="auto"/>
            <w:bottom w:val="none" w:sz="0" w:space="0" w:color="auto"/>
            <w:right w:val="none" w:sz="0" w:space="0" w:color="auto"/>
          </w:divBdr>
        </w:div>
        <w:div w:id="665129919">
          <w:marLeft w:val="0"/>
          <w:marRight w:val="0"/>
          <w:marTop w:val="0"/>
          <w:marBottom w:val="0"/>
          <w:divBdr>
            <w:top w:val="none" w:sz="0" w:space="0" w:color="auto"/>
            <w:left w:val="none" w:sz="0" w:space="0" w:color="auto"/>
            <w:bottom w:val="none" w:sz="0" w:space="0" w:color="auto"/>
            <w:right w:val="none" w:sz="0" w:space="0" w:color="auto"/>
          </w:divBdr>
        </w:div>
        <w:div w:id="1763836078">
          <w:marLeft w:val="0"/>
          <w:marRight w:val="0"/>
          <w:marTop w:val="0"/>
          <w:marBottom w:val="0"/>
          <w:divBdr>
            <w:top w:val="none" w:sz="0" w:space="0" w:color="auto"/>
            <w:left w:val="none" w:sz="0" w:space="0" w:color="auto"/>
            <w:bottom w:val="none" w:sz="0" w:space="0" w:color="auto"/>
            <w:right w:val="none" w:sz="0" w:space="0" w:color="auto"/>
          </w:divBdr>
        </w:div>
        <w:div w:id="1362781586">
          <w:marLeft w:val="0"/>
          <w:marRight w:val="0"/>
          <w:marTop w:val="0"/>
          <w:marBottom w:val="0"/>
          <w:divBdr>
            <w:top w:val="none" w:sz="0" w:space="0" w:color="auto"/>
            <w:left w:val="none" w:sz="0" w:space="0" w:color="auto"/>
            <w:bottom w:val="none" w:sz="0" w:space="0" w:color="auto"/>
            <w:right w:val="none" w:sz="0" w:space="0" w:color="auto"/>
          </w:divBdr>
        </w:div>
        <w:div w:id="110708559">
          <w:marLeft w:val="0"/>
          <w:marRight w:val="0"/>
          <w:marTop w:val="0"/>
          <w:marBottom w:val="0"/>
          <w:divBdr>
            <w:top w:val="none" w:sz="0" w:space="0" w:color="auto"/>
            <w:left w:val="none" w:sz="0" w:space="0" w:color="auto"/>
            <w:bottom w:val="none" w:sz="0" w:space="0" w:color="auto"/>
            <w:right w:val="none" w:sz="0" w:space="0" w:color="auto"/>
          </w:divBdr>
        </w:div>
        <w:div w:id="1315723178">
          <w:marLeft w:val="0"/>
          <w:marRight w:val="0"/>
          <w:marTop w:val="0"/>
          <w:marBottom w:val="0"/>
          <w:divBdr>
            <w:top w:val="none" w:sz="0" w:space="0" w:color="auto"/>
            <w:left w:val="none" w:sz="0" w:space="0" w:color="auto"/>
            <w:bottom w:val="none" w:sz="0" w:space="0" w:color="auto"/>
            <w:right w:val="none" w:sz="0" w:space="0" w:color="auto"/>
          </w:divBdr>
        </w:div>
        <w:div w:id="499126149">
          <w:marLeft w:val="0"/>
          <w:marRight w:val="0"/>
          <w:marTop w:val="0"/>
          <w:marBottom w:val="0"/>
          <w:divBdr>
            <w:top w:val="none" w:sz="0" w:space="0" w:color="auto"/>
            <w:left w:val="none" w:sz="0" w:space="0" w:color="auto"/>
            <w:bottom w:val="none" w:sz="0" w:space="0" w:color="auto"/>
            <w:right w:val="none" w:sz="0" w:space="0" w:color="auto"/>
          </w:divBdr>
        </w:div>
        <w:div w:id="450589852">
          <w:marLeft w:val="0"/>
          <w:marRight w:val="0"/>
          <w:marTop w:val="0"/>
          <w:marBottom w:val="0"/>
          <w:divBdr>
            <w:top w:val="none" w:sz="0" w:space="0" w:color="auto"/>
            <w:left w:val="none" w:sz="0" w:space="0" w:color="auto"/>
            <w:bottom w:val="none" w:sz="0" w:space="0" w:color="auto"/>
            <w:right w:val="none" w:sz="0" w:space="0" w:color="auto"/>
          </w:divBdr>
        </w:div>
        <w:div w:id="475491492">
          <w:marLeft w:val="0"/>
          <w:marRight w:val="0"/>
          <w:marTop w:val="0"/>
          <w:marBottom w:val="0"/>
          <w:divBdr>
            <w:top w:val="none" w:sz="0" w:space="0" w:color="auto"/>
            <w:left w:val="none" w:sz="0" w:space="0" w:color="auto"/>
            <w:bottom w:val="none" w:sz="0" w:space="0" w:color="auto"/>
            <w:right w:val="none" w:sz="0" w:space="0" w:color="auto"/>
          </w:divBdr>
        </w:div>
        <w:div w:id="1029528129">
          <w:marLeft w:val="0"/>
          <w:marRight w:val="0"/>
          <w:marTop w:val="0"/>
          <w:marBottom w:val="0"/>
          <w:divBdr>
            <w:top w:val="none" w:sz="0" w:space="0" w:color="auto"/>
            <w:left w:val="none" w:sz="0" w:space="0" w:color="auto"/>
            <w:bottom w:val="none" w:sz="0" w:space="0" w:color="auto"/>
            <w:right w:val="none" w:sz="0" w:space="0" w:color="auto"/>
          </w:divBdr>
        </w:div>
      </w:divsChild>
    </w:div>
    <w:div w:id="752821126">
      <w:bodyDiv w:val="1"/>
      <w:marLeft w:val="0"/>
      <w:marRight w:val="0"/>
      <w:marTop w:val="0"/>
      <w:marBottom w:val="0"/>
      <w:divBdr>
        <w:top w:val="none" w:sz="0" w:space="0" w:color="auto"/>
        <w:left w:val="none" w:sz="0" w:space="0" w:color="auto"/>
        <w:bottom w:val="none" w:sz="0" w:space="0" w:color="auto"/>
        <w:right w:val="none" w:sz="0" w:space="0" w:color="auto"/>
      </w:divBdr>
    </w:div>
    <w:div w:id="1739546962">
      <w:bodyDiv w:val="1"/>
      <w:marLeft w:val="0"/>
      <w:marRight w:val="0"/>
      <w:marTop w:val="0"/>
      <w:marBottom w:val="0"/>
      <w:divBdr>
        <w:top w:val="none" w:sz="0" w:space="0" w:color="auto"/>
        <w:left w:val="none" w:sz="0" w:space="0" w:color="auto"/>
        <w:bottom w:val="none" w:sz="0" w:space="0" w:color="auto"/>
        <w:right w:val="none" w:sz="0" w:space="0" w:color="auto"/>
      </w:divBdr>
      <w:divsChild>
        <w:div w:id="1361588654">
          <w:marLeft w:val="0"/>
          <w:marRight w:val="0"/>
          <w:marTop w:val="0"/>
          <w:marBottom w:val="0"/>
          <w:divBdr>
            <w:top w:val="none" w:sz="0" w:space="0" w:color="auto"/>
            <w:left w:val="none" w:sz="0" w:space="0" w:color="auto"/>
            <w:bottom w:val="none" w:sz="0" w:space="0" w:color="auto"/>
            <w:right w:val="none" w:sz="0" w:space="0" w:color="auto"/>
          </w:divBdr>
        </w:div>
        <w:div w:id="2069959820">
          <w:marLeft w:val="0"/>
          <w:marRight w:val="0"/>
          <w:marTop w:val="0"/>
          <w:marBottom w:val="0"/>
          <w:divBdr>
            <w:top w:val="none" w:sz="0" w:space="0" w:color="auto"/>
            <w:left w:val="none" w:sz="0" w:space="0" w:color="auto"/>
            <w:bottom w:val="none" w:sz="0" w:space="0" w:color="auto"/>
            <w:right w:val="none" w:sz="0" w:space="0" w:color="auto"/>
          </w:divBdr>
        </w:div>
        <w:div w:id="1200818356">
          <w:marLeft w:val="0"/>
          <w:marRight w:val="0"/>
          <w:marTop w:val="0"/>
          <w:marBottom w:val="0"/>
          <w:divBdr>
            <w:top w:val="none" w:sz="0" w:space="0" w:color="auto"/>
            <w:left w:val="none" w:sz="0" w:space="0" w:color="auto"/>
            <w:bottom w:val="none" w:sz="0" w:space="0" w:color="auto"/>
            <w:right w:val="none" w:sz="0" w:space="0" w:color="auto"/>
          </w:divBdr>
        </w:div>
      </w:divsChild>
    </w:div>
    <w:div w:id="174228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A7B46E2742484AAA9910AD0C850D59" ma:contentTypeVersion="33" ma:contentTypeDescription="Loo uus dokument" ma:contentTypeScope="" ma:versionID="efec43c45be787a29f9352fccdde7b3e">
  <xsd:schema xmlns:xsd="http://www.w3.org/2001/XMLSchema" xmlns:xs="http://www.w3.org/2001/XMLSchema" xmlns:p="http://schemas.microsoft.com/office/2006/metadata/properties" xmlns:ns2="ec6ce174-e75c-4ca3-ad81-5efbf0e0fcfb" xmlns:ns3="883e618c-2fd8-4950-9419-1a3c112a8b8f" targetNamespace="http://schemas.microsoft.com/office/2006/metadata/properties" ma:root="true" ma:fieldsID="b8d5e6b1082beae497531b4e9ca3be47" ns2:_="" ns3:_="">
    <xsd:import namespace="ec6ce174-e75c-4ca3-ad81-5efbf0e0fcfb"/>
    <xsd:import namespace="883e618c-2fd8-4950-9419-1a3c112a8b8f"/>
    <xsd:element name="properties">
      <xsd:complexType>
        <xsd:sequence>
          <xsd:element name="documentManagement">
            <xsd:complexType>
              <xsd:all>
                <xsd:element ref="ns2:Kord" minOccurs="0"/>
                <xsd:element ref="ns2:Teenuseomanik"/>
                <xsd:element ref="ns2:Vastutav_x0020__x00fc_ksus"/>
                <xsd:element ref="ns2:Staatus"/>
                <xsd:element ref="ns2:Toote_x0020_omanik" minOccurs="0"/>
                <xsd:element ref="ns2:Valdkonna_x0020_juht" minOccurs="0"/>
                <xsd:element ref="ns2:Ve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31ade1fbf6f427d906c077acea4244c"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ce174-e75c-4ca3-ad81-5efbf0e0fcfb" elementFormDefault="qualified">
    <xsd:import namespace="http://schemas.microsoft.com/office/2006/documentManagement/types"/>
    <xsd:import namespace="http://schemas.microsoft.com/office/infopath/2007/PartnerControls"/>
    <xsd:element name="Kord" ma:index="1" nillable="true" ma:displayName="Meede" ma:format="Dropdown" ma:internalName="Kord">
      <xsd:simpleType>
        <xsd:restriction base="dms:Text">
          <xsd:maxLength value="255"/>
        </xsd:restriction>
      </xsd:simpleType>
    </xsd:element>
    <xsd:element name="Teenuseomanik" ma:index="2" ma:displayName="Teenuseomanik" ma:format="Dropdown" ma:list="UserInfo" ma:SharePointGroup="0" ma:internalName="Teenuseomanik"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Vastutav_x0020__x00fc_ksus" ma:index="4" ma:displayName="Vastutav üksus" ma:format="RadioButtons" ma:internalName="Vastutav_x0020__x00fc_ksus">
      <xsd:simpleType>
        <xsd:restriction base="dms:Choice">
          <xsd:enumeration value="Üldjuhtimine"/>
          <xsd:enumeration value="Siseteenused"/>
          <xsd:enumeration value="Innovatsiooniteenused"/>
          <xsd:enumeration value="Finantsteenused"/>
          <xsd:enumeration value="Rahvusvahelised teenused"/>
          <xsd:enumeration value="Siseaudit"/>
        </xsd:restriction>
      </xsd:simpleType>
    </xsd:element>
    <xsd:element name="Staatus" ma:index="5" ma:displayName="Staatus" ma:default="Töös" ma:format="Dropdown" ma:internalName="Staatus">
      <xsd:simpleType>
        <xsd:restriction base="dms:Choice">
          <xsd:enumeration value="Töös"/>
          <xsd:enumeration value="Arhiveeritud"/>
        </xsd:restriction>
      </xsd:simpleType>
    </xsd:element>
    <xsd:element name="Toote_x0020_omanik" ma:index="6" nillable="true" ma:displayName="Toote omanik" ma:internalName="Toote_x0020_omanik">
      <xsd:simpleType>
        <xsd:restriction base="dms:Text">
          <xsd:maxLength value="255"/>
        </xsd:restriction>
      </xsd:simpleType>
    </xsd:element>
    <xsd:element name="Valdkonna_x0020_juht" ma:index="7" nillable="true" ma:displayName="Valdkonna juht" ma:format="Dropdown" ma:internalName="Valdkonna_x0020_juht">
      <xsd:simpleType>
        <xsd:restriction base="dms:Text">
          <xsd:maxLength value="255"/>
        </xsd:restriction>
      </xsd:simpleType>
    </xsd:element>
    <xsd:element name="Ver" ma:index="8" nillable="true" ma:displayName="Ver" ma:decimals="0" ma:internalName="Ver">
      <xsd:simpleType>
        <xsd:restriction base="dms:Number"/>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31ade1fbf6f427d906c077acea4244c" ma:index="21" ma:taxonomy="true" ma:internalName="n31ade1fbf6f427d906c077acea4244c" ma:taxonomyFieldName="Osakond" ma:displayName="Osakond" ma:default="" ma:fieldId="{731ade1f-bf6f-427d-906c-077acea4244c}" ma:sspId="d5e437df-4f94-43c5-a0b4-cf172a2ef4bd" ma:termSetId="8ed8c9ea-7052-4c1d-a4d7-b9c10bffea6f" ma:anchorId="00000000-0000-0000-0000-000000000000"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3e618c-2fd8-4950-9419-1a3c112a8b8f"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2" nillable="true" ma:displayName="Taxonomy Catch All Column" ma:hidden="true" ma:list="{d0bfacaf-95c4-424d-90bf-9ef630110c56}" ma:internalName="TaxCatchAll" ma:showField="CatchAllData" ma:web="883e618c-2fd8-4950-9419-1a3c112a8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Sisutüüp"/>
        <xsd:element ref="dc:title" minOccurs="0" maxOccurs="1"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3e618c-2fd8-4950-9419-1a3c112a8b8f">
      <Value>74</Value>
    </TaxCatchAll>
    <Kord xmlns="ec6ce174-e75c-4ca3-ad81-5efbf0e0fcfb">RTE TEG3 (e-kviiting) ja TEG5 (tervikprotsess)</Kord>
    <Ver xmlns="ec6ce174-e75c-4ca3-ad81-5efbf0e0fcfb">1</Ver>
    <Toote_x0020_omanik xmlns="ec6ce174-e75c-4ca3-ad81-5efbf0e0fcfb">Kristiina Niilits</Toote_x0020_omanik>
    <Valdkonna_x0020_juht xmlns="ec6ce174-e75c-4ca3-ad81-5efbf0e0fcfb">Monica Hankov</Valdkonna_x0020_juht>
    <Teenuseomanik xmlns="ec6ce174-e75c-4ca3-ad81-5efbf0e0fcfb">
      <UserInfo>
        <DisplayName>Kristiina Niilits</DisplayName>
        <AccountId>160</AccountId>
        <AccountType/>
      </UserInfo>
    </Teenuseomanik>
    <Vastutav_x0020__x00fc_ksus xmlns="ec6ce174-e75c-4ca3-ad81-5efbf0e0fcfb">Innovatsiooniteenused</Vastutav_x0020__x00fc_ksus>
    <Staatus xmlns="ec6ce174-e75c-4ca3-ad81-5efbf0e0fcfb">Töös</Staatus>
    <n31ade1fbf6f427d906c077acea4244c xmlns="ec6ce174-e75c-4ca3-ad81-5efbf0e0fcfb">
      <Terms xmlns="http://schemas.microsoft.com/office/infopath/2007/PartnerControls">
        <TermInfo xmlns="http://schemas.microsoft.com/office/infopath/2007/PartnerControls">
          <TermName xmlns="http://schemas.microsoft.com/office/infopath/2007/PartnerControls">Toetuste osakond</TermName>
          <TermId xmlns="http://schemas.microsoft.com/office/infopath/2007/PartnerControls">f6aa6ec7-40ef-497a-9773-31c330b0b78c</TermId>
        </TermInfo>
      </Terms>
    </n31ade1fbf6f427d906c077acea4244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1F88A-ED44-4410-9862-42BC4DD41151}"/>
</file>

<file path=customXml/itemProps2.xml><?xml version="1.0" encoding="utf-8"?>
<ds:datastoreItem xmlns:ds="http://schemas.openxmlformats.org/officeDocument/2006/customXml" ds:itemID="{58A9D6DF-BBB8-45F0-9BE5-400A38BE565B}">
  <ds:schemaRefs>
    <ds:schemaRef ds:uri="http://purl.org/dc/dcmitype/"/>
    <ds:schemaRef ds:uri="http://purl.org/dc/terms/"/>
    <ds:schemaRef ds:uri="883e618c-2fd8-4950-9419-1a3c112a8b8f"/>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ec6ce174-e75c-4ca3-ad81-5efbf0e0fcf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53DC8E9-F5B8-4503-95F5-28A6D0613A42}">
  <ds:schemaRefs>
    <ds:schemaRef ds:uri="http://schemas.microsoft.com/sharepoint/v3/contenttype/forms"/>
  </ds:schemaRefs>
</ds:datastoreItem>
</file>

<file path=customXml/itemProps4.xml><?xml version="1.0" encoding="utf-8"?>
<ds:datastoreItem xmlns:ds="http://schemas.openxmlformats.org/officeDocument/2006/customXml" ds:itemID="{DE658CDB-D2F6-4595-9166-82F9B9D69A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EAS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Niilits</dc:creator>
  <cp:keywords/>
  <dc:description/>
  <cp:lastModifiedBy>Kristiina Niilits</cp:lastModifiedBy>
  <cp:revision>8</cp:revision>
  <cp:lastPrinted>2024-02-26T14:44:00Z</cp:lastPrinted>
  <dcterms:created xsi:type="dcterms:W3CDTF">2024-04-25T09:17:00Z</dcterms:created>
  <dcterms:modified xsi:type="dcterms:W3CDTF">2024-04-29T12:47:45Z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0x010100B5A7B46E2742484AAA9910AD0C850D59</vt:lpwstr>
  </property>
  <property fmtid="{D5CDD505-2E9C-101B-9397-08002B2CF9AE}" pid="3" name="Osakond">
    <vt:lpwstr>74;#Toetuste osakond|f6aa6ec7-40ef-497a-9773-31c330b0b78c</vt:lpwstr>
  </property>
  <property fmtid="{D5CDD505-2E9C-101B-9397-08002B2CF9AE}" pid="4" name="Märksõnad">
    <vt:lpwstr/>
  </property>
  <property fmtid="{D5CDD505-2E9C-101B-9397-08002B2CF9AE}" pid="5" name="MSIP_Label_cfb4b128-f229-46dc-9de9-162f60bb5b9b_Enabled">
    <vt:lpwstr>true</vt:lpwstr>
  </property>
  <property fmtid="{D5CDD505-2E9C-101B-9397-08002B2CF9AE}" pid="6" name="MSIP_Label_cfb4b128-f229-46dc-9de9-162f60bb5b9b_SetDate">
    <vt:lpwstr>2024-05-04T12:44:27Z</vt:lpwstr>
  </property>
  <property fmtid="{D5CDD505-2E9C-101B-9397-08002B2CF9AE}" pid="7" name="MSIP_Label_cfb4b128-f229-46dc-9de9-162f60bb5b9b_Method">
    <vt:lpwstr>Standard</vt:lpwstr>
  </property>
  <property fmtid="{D5CDD505-2E9C-101B-9397-08002B2CF9AE}" pid="8" name="MSIP_Label_cfb4b128-f229-46dc-9de9-162f60bb5b9b_Name">
    <vt:lpwstr>Internal</vt:lpwstr>
  </property>
  <property fmtid="{D5CDD505-2E9C-101B-9397-08002B2CF9AE}" pid="9" name="MSIP_Label_cfb4b128-f229-46dc-9de9-162f60bb5b9b_SiteId">
    <vt:lpwstr>3c88e4d0-0f16-4fc9-9c9d-e75d2f2a6adc</vt:lpwstr>
  </property>
  <property fmtid="{D5CDD505-2E9C-101B-9397-08002B2CF9AE}" pid="10" name="MSIP_Label_cfb4b128-f229-46dc-9de9-162f60bb5b9b_ActionId">
    <vt:lpwstr>32cfc058-e8ea-4fe7-b7c9-705242907a09</vt:lpwstr>
  </property>
  <property fmtid="{D5CDD505-2E9C-101B-9397-08002B2CF9AE}" pid="11" name="MSIP_Label_cfb4b128-f229-46dc-9de9-162f60bb5b9b_ContentBits">
    <vt:lpwstr>0</vt:lpwstr>
  </property>
</Properties>
</file>